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BC" w:rsidRPr="00D411BC" w:rsidRDefault="00D411BC" w:rsidP="00AF680E">
      <w:pPr>
        <w:spacing w:after="0" w:line="240" w:lineRule="auto"/>
        <w:rPr>
          <w:rFonts w:ascii="Tahoma" w:hAnsi="Tahoma" w:cs="Tahoma"/>
          <w:b/>
          <w:sz w:val="20"/>
          <w:szCs w:val="20"/>
        </w:rPr>
      </w:pPr>
    </w:p>
    <w:p w:rsidR="00D411BC" w:rsidRPr="00D411BC" w:rsidRDefault="00D411BC" w:rsidP="00AF680E">
      <w:pPr>
        <w:pStyle w:val="Textoindependiente"/>
        <w:widowControl w:val="0"/>
        <w:tabs>
          <w:tab w:val="left" w:pos="2410"/>
          <w:tab w:val="left" w:pos="3261"/>
          <w:tab w:val="left" w:pos="3686"/>
          <w:tab w:val="left" w:pos="5954"/>
          <w:tab w:val="left" w:pos="6946"/>
        </w:tabs>
        <w:suppressAutoHyphens/>
        <w:spacing w:after="0" w:line="240" w:lineRule="auto"/>
        <w:ind w:left="3402" w:right="2409" w:hanging="1276"/>
        <w:jc w:val="both"/>
        <w:rPr>
          <w:rFonts w:ascii="Tahoma" w:hAnsi="Tahoma" w:cs="Tahoma"/>
          <w:i/>
          <w:sz w:val="20"/>
          <w:szCs w:val="20"/>
          <w:lang w:val="es-PE"/>
        </w:rPr>
      </w:pPr>
      <w:r w:rsidRPr="00D411BC">
        <w:rPr>
          <w:rFonts w:ascii="Tahoma" w:hAnsi="Tahoma" w:cs="Tahoma"/>
          <w:b/>
          <w:i/>
          <w:sz w:val="20"/>
          <w:szCs w:val="20"/>
        </w:rPr>
        <w:t xml:space="preserve">Sumilla:       </w:t>
      </w:r>
      <w:r w:rsidRPr="00D411BC">
        <w:rPr>
          <w:rFonts w:ascii="Tahoma" w:hAnsi="Tahoma" w:cs="Tahoma"/>
          <w:bCs/>
          <w:i/>
          <w:sz w:val="20"/>
          <w:szCs w:val="20"/>
        </w:rPr>
        <w:t>Si alguna de las partes falta al cumplimiento de sus obligaciones, la parte perjudicada deberá requerirla mediante carta notarial</w:t>
      </w:r>
      <w:r w:rsidRPr="00D411BC">
        <w:rPr>
          <w:rFonts w:ascii="Tahoma" w:hAnsi="Tahoma" w:cs="Tahoma"/>
          <w:i/>
          <w:sz w:val="20"/>
          <w:szCs w:val="20"/>
        </w:rPr>
        <w:t xml:space="preserve"> para que las satisfaga en un plazo no mayor a cinco días, bajo apercibimiento de resolver el contrato.</w:t>
      </w:r>
    </w:p>
    <w:p w:rsidR="00D411BC" w:rsidRPr="00D411BC" w:rsidRDefault="00D411BC" w:rsidP="00AF680E">
      <w:pPr>
        <w:pStyle w:val="Textoindependiente3"/>
        <w:spacing w:after="0"/>
        <w:ind w:left="4248" w:right="179" w:firstLine="708"/>
        <w:jc w:val="both"/>
        <w:rPr>
          <w:rFonts w:ascii="Tahoma" w:hAnsi="Tahoma" w:cs="Tahoma"/>
          <w:b/>
          <w:sz w:val="20"/>
          <w:szCs w:val="20"/>
        </w:rPr>
      </w:pPr>
    </w:p>
    <w:p w:rsidR="00D411BC" w:rsidRPr="00D411BC" w:rsidRDefault="00D411BC" w:rsidP="00AF680E">
      <w:pPr>
        <w:pStyle w:val="Textoindependiente3"/>
        <w:spacing w:after="0"/>
        <w:ind w:left="4248" w:right="179" w:firstLine="708"/>
        <w:jc w:val="both"/>
        <w:rPr>
          <w:rFonts w:ascii="Tahoma" w:hAnsi="Tahoma" w:cs="Tahoma"/>
          <w:sz w:val="20"/>
          <w:szCs w:val="20"/>
        </w:rPr>
      </w:pPr>
      <w:r w:rsidRPr="00D411BC">
        <w:rPr>
          <w:rFonts w:ascii="Tahoma" w:hAnsi="Tahoma" w:cs="Tahoma"/>
          <w:b/>
          <w:sz w:val="20"/>
          <w:szCs w:val="20"/>
        </w:rPr>
        <w:t>Lima</w:t>
      </w:r>
      <w:r w:rsidRPr="00D411BC">
        <w:rPr>
          <w:rFonts w:ascii="Tahoma" w:hAnsi="Tahoma" w:cs="Tahoma"/>
          <w:sz w:val="20"/>
          <w:szCs w:val="20"/>
        </w:rPr>
        <w:t>,</w:t>
      </w:r>
      <w:r w:rsidR="00D3528F">
        <w:rPr>
          <w:rFonts w:ascii="Tahoma" w:hAnsi="Tahoma" w:cs="Tahoma"/>
          <w:sz w:val="20"/>
          <w:szCs w:val="20"/>
        </w:rPr>
        <w:t xml:space="preserve"> 14 de Julio de 2011</w:t>
      </w:r>
      <w:r w:rsidRPr="00D411BC">
        <w:rPr>
          <w:rFonts w:ascii="Tahoma" w:hAnsi="Tahoma" w:cs="Tahoma"/>
          <w:sz w:val="20"/>
          <w:szCs w:val="20"/>
        </w:rPr>
        <w:t xml:space="preserve"> </w:t>
      </w:r>
    </w:p>
    <w:p w:rsidR="00D411BC" w:rsidRPr="00D411BC" w:rsidRDefault="00D411BC" w:rsidP="00AF680E">
      <w:pPr>
        <w:pStyle w:val="Textoindependiente3"/>
        <w:spacing w:after="0"/>
        <w:jc w:val="both"/>
        <w:rPr>
          <w:rFonts w:ascii="Tahoma" w:hAnsi="Tahoma" w:cs="Tahoma"/>
          <w:sz w:val="20"/>
          <w:szCs w:val="20"/>
        </w:rPr>
      </w:pPr>
    </w:p>
    <w:p w:rsidR="00D411BC" w:rsidRPr="00D411BC" w:rsidRDefault="00D411BC" w:rsidP="00AF680E">
      <w:pPr>
        <w:spacing w:after="0" w:line="240" w:lineRule="auto"/>
        <w:jc w:val="both"/>
        <w:rPr>
          <w:rFonts w:ascii="Tahoma" w:hAnsi="Tahoma" w:cs="Tahoma"/>
          <w:sz w:val="20"/>
          <w:szCs w:val="20"/>
          <w:lang w:val="es-MX"/>
        </w:rPr>
      </w:pPr>
      <w:r w:rsidRPr="00D411BC">
        <w:rPr>
          <w:rFonts w:ascii="Tahoma" w:hAnsi="Tahoma" w:cs="Tahoma"/>
          <w:b/>
          <w:sz w:val="20"/>
          <w:szCs w:val="20"/>
        </w:rPr>
        <w:t>VISTO</w:t>
      </w:r>
      <w:r w:rsidR="0009541F">
        <w:rPr>
          <w:rFonts w:ascii="Tahoma" w:hAnsi="Tahoma" w:cs="Tahoma"/>
          <w:sz w:val="20"/>
          <w:szCs w:val="20"/>
        </w:rPr>
        <w:t xml:space="preserve"> en sesión de fecha 12</w:t>
      </w:r>
      <w:r w:rsidRPr="00D411BC">
        <w:rPr>
          <w:rFonts w:ascii="Tahoma" w:hAnsi="Tahoma" w:cs="Tahoma"/>
          <w:sz w:val="20"/>
          <w:szCs w:val="20"/>
        </w:rPr>
        <w:t xml:space="preserve"> de </w:t>
      </w:r>
      <w:r w:rsidR="0009541F">
        <w:rPr>
          <w:rFonts w:ascii="Tahoma" w:hAnsi="Tahoma" w:cs="Tahoma"/>
          <w:sz w:val="20"/>
          <w:szCs w:val="20"/>
        </w:rPr>
        <w:t xml:space="preserve">julio </w:t>
      </w:r>
      <w:r w:rsidRPr="00D411BC">
        <w:rPr>
          <w:rFonts w:ascii="Tahoma" w:hAnsi="Tahoma" w:cs="Tahoma"/>
          <w:sz w:val="20"/>
          <w:szCs w:val="20"/>
        </w:rPr>
        <w:t xml:space="preserve">de 2011 de la Primera Sala del Tribunal de Contrataciones del Estado el Expediente № </w:t>
      </w:r>
      <w:r w:rsidR="0009541F">
        <w:rPr>
          <w:rFonts w:ascii="Tahoma" w:hAnsi="Tahoma" w:cs="Tahoma"/>
          <w:sz w:val="20"/>
          <w:szCs w:val="20"/>
        </w:rPr>
        <w:t>1759</w:t>
      </w:r>
      <w:r w:rsidRPr="00D411BC">
        <w:rPr>
          <w:rFonts w:ascii="Tahoma" w:hAnsi="Tahoma" w:cs="Tahoma"/>
          <w:sz w:val="20"/>
          <w:szCs w:val="20"/>
        </w:rPr>
        <w:t xml:space="preserve">/2010.TC, sobre el procedimiento administrativo sancionador contra </w:t>
      </w:r>
      <w:r w:rsidR="0009541F" w:rsidRPr="00D411BC">
        <w:rPr>
          <w:rFonts w:ascii="Tahoma" w:hAnsi="Tahoma" w:cs="Tahoma"/>
          <w:sz w:val="20"/>
          <w:szCs w:val="20"/>
        </w:rPr>
        <w:t>la empresa AMKEM ELECTRONIC &amp; BIOMEDICAL COMPANY S.A.C.</w:t>
      </w:r>
      <w:r w:rsidRPr="00D411BC">
        <w:rPr>
          <w:rFonts w:ascii="Tahoma" w:hAnsi="Tahoma" w:cs="Tahoma"/>
          <w:sz w:val="20"/>
          <w:szCs w:val="20"/>
        </w:rPr>
        <w:t xml:space="preserve">, </w:t>
      </w:r>
      <w:r w:rsidRPr="00D411BC">
        <w:rPr>
          <w:rFonts w:ascii="Tahoma" w:hAnsi="Tahoma" w:cs="Tahoma"/>
          <w:sz w:val="20"/>
          <w:szCs w:val="20"/>
          <w:lang w:val="es-MX"/>
        </w:rPr>
        <w:t xml:space="preserve">por supuesta responsabilidad en dar lugar a la resolución del </w:t>
      </w:r>
      <w:r w:rsidR="001D6F70" w:rsidRPr="00D411BC">
        <w:rPr>
          <w:rFonts w:ascii="Tahoma" w:hAnsi="Tahoma" w:cs="Tahoma"/>
          <w:sz w:val="20"/>
          <w:szCs w:val="20"/>
        </w:rPr>
        <w:t>Contrato Marco Nº 4600035551</w:t>
      </w:r>
      <w:r w:rsidRPr="00D411BC">
        <w:rPr>
          <w:rFonts w:ascii="Tahoma" w:hAnsi="Tahoma" w:cs="Tahoma"/>
          <w:sz w:val="20"/>
          <w:szCs w:val="20"/>
        </w:rPr>
        <w:t xml:space="preserve">, derivado de la </w:t>
      </w:r>
      <w:r w:rsidR="001D6F70" w:rsidRPr="00D411BC">
        <w:rPr>
          <w:rFonts w:ascii="Tahoma" w:hAnsi="Tahoma" w:cs="Tahoma"/>
          <w:sz w:val="20"/>
          <w:szCs w:val="20"/>
        </w:rPr>
        <w:t xml:space="preserve">Adjudicación de Menor Cuantía N° </w:t>
      </w:r>
      <w:r w:rsidR="00AF680E">
        <w:rPr>
          <w:rFonts w:ascii="Tahoma" w:hAnsi="Tahoma" w:cs="Tahoma"/>
          <w:sz w:val="20"/>
          <w:szCs w:val="20"/>
        </w:rPr>
        <w:t xml:space="preserve">1026M00101 (MC Nº </w:t>
      </w:r>
      <w:r w:rsidR="001D6F70" w:rsidRPr="00D411BC">
        <w:rPr>
          <w:rFonts w:ascii="Tahoma" w:hAnsi="Tahoma" w:cs="Tahoma"/>
          <w:sz w:val="20"/>
          <w:szCs w:val="20"/>
        </w:rPr>
        <w:t>10-2010/ESSALUD</w:t>
      </w:r>
      <w:r w:rsidR="001D6F70">
        <w:rPr>
          <w:rFonts w:ascii="Tahoma" w:hAnsi="Tahoma" w:cs="Tahoma"/>
          <w:sz w:val="20"/>
          <w:szCs w:val="20"/>
        </w:rPr>
        <w:t>/RAMD</w:t>
      </w:r>
      <w:r w:rsidR="00AF680E">
        <w:rPr>
          <w:rFonts w:ascii="Tahoma" w:hAnsi="Tahoma" w:cs="Tahoma"/>
          <w:sz w:val="20"/>
          <w:szCs w:val="20"/>
        </w:rPr>
        <w:t>)</w:t>
      </w:r>
      <w:r w:rsidRPr="00D411BC">
        <w:rPr>
          <w:rFonts w:ascii="Tahoma" w:hAnsi="Tahoma" w:cs="Tahoma"/>
          <w:sz w:val="20"/>
          <w:szCs w:val="20"/>
        </w:rPr>
        <w:t xml:space="preserve">, convocada por </w:t>
      </w:r>
      <w:r w:rsidR="001D6F70" w:rsidRPr="00D411BC">
        <w:rPr>
          <w:rFonts w:ascii="Tahoma" w:hAnsi="Tahoma" w:cs="Tahoma"/>
          <w:sz w:val="20"/>
          <w:szCs w:val="20"/>
        </w:rPr>
        <w:t>el Seguro Social de Salud</w:t>
      </w:r>
      <w:r w:rsidRPr="00D411BC">
        <w:rPr>
          <w:rFonts w:ascii="Tahoma" w:hAnsi="Tahoma" w:cs="Tahoma"/>
          <w:sz w:val="20"/>
          <w:szCs w:val="20"/>
        </w:rPr>
        <w:t xml:space="preserve">, para </w:t>
      </w:r>
      <w:r w:rsidR="001D6F70">
        <w:rPr>
          <w:rFonts w:ascii="Tahoma" w:hAnsi="Tahoma" w:cs="Tahoma"/>
          <w:sz w:val="20"/>
          <w:szCs w:val="20"/>
        </w:rPr>
        <w:t xml:space="preserve">el </w:t>
      </w:r>
      <w:r w:rsidR="001D6F70" w:rsidRPr="00D411BC">
        <w:rPr>
          <w:rFonts w:ascii="Tahoma" w:hAnsi="Tahoma" w:cs="Tahoma"/>
          <w:sz w:val="20"/>
          <w:szCs w:val="20"/>
        </w:rPr>
        <w:t>servicio de mantenimiento preventivo y correctivo de equipo electromecáni</w:t>
      </w:r>
      <w:r w:rsidR="00AF680E">
        <w:rPr>
          <w:rFonts w:ascii="Tahoma" w:hAnsi="Tahoma" w:cs="Tahoma"/>
          <w:sz w:val="20"/>
        </w:rPr>
        <w:t>co de la R</w:t>
      </w:r>
      <w:r w:rsidR="001D6F70">
        <w:rPr>
          <w:rFonts w:ascii="Tahoma" w:hAnsi="Tahoma" w:cs="Tahoma"/>
          <w:sz w:val="20"/>
        </w:rPr>
        <w:t xml:space="preserve">ed </w:t>
      </w:r>
      <w:r w:rsidR="00AF680E">
        <w:rPr>
          <w:rFonts w:ascii="Tahoma" w:hAnsi="Tahoma" w:cs="Tahoma"/>
          <w:sz w:val="20"/>
        </w:rPr>
        <w:t>A</w:t>
      </w:r>
      <w:r w:rsidR="001D6F70">
        <w:rPr>
          <w:rFonts w:ascii="Tahoma" w:hAnsi="Tahoma" w:cs="Tahoma"/>
          <w:sz w:val="20"/>
        </w:rPr>
        <w:t>sistencial Madre d</w:t>
      </w:r>
      <w:r w:rsidR="001D6F70" w:rsidRPr="00D411BC">
        <w:rPr>
          <w:rFonts w:ascii="Tahoma" w:hAnsi="Tahoma" w:cs="Tahoma"/>
          <w:sz w:val="20"/>
          <w:szCs w:val="20"/>
        </w:rPr>
        <w:t>e Dios</w:t>
      </w:r>
      <w:r w:rsidRPr="00D411BC">
        <w:rPr>
          <w:rFonts w:ascii="Tahoma" w:hAnsi="Tahoma" w:cs="Tahoma"/>
          <w:sz w:val="20"/>
          <w:szCs w:val="20"/>
        </w:rPr>
        <w:t xml:space="preserve">; y, atendiendo a los siguientes:   </w:t>
      </w:r>
    </w:p>
    <w:p w:rsidR="00D411BC" w:rsidRPr="00D411BC" w:rsidRDefault="00D411BC" w:rsidP="00AF680E">
      <w:pPr>
        <w:spacing w:after="0" w:line="240" w:lineRule="auto"/>
        <w:ind w:right="45"/>
        <w:jc w:val="both"/>
        <w:rPr>
          <w:rFonts w:ascii="Tahoma" w:hAnsi="Tahoma" w:cs="Tahoma"/>
          <w:sz w:val="20"/>
          <w:szCs w:val="20"/>
        </w:rPr>
      </w:pPr>
    </w:p>
    <w:p w:rsidR="00D411BC" w:rsidRPr="00D411BC" w:rsidRDefault="00D411BC" w:rsidP="00AF680E">
      <w:pPr>
        <w:pStyle w:val="Ttulo2"/>
        <w:jc w:val="both"/>
        <w:rPr>
          <w:rFonts w:cs="Tahoma"/>
          <w:sz w:val="20"/>
        </w:rPr>
      </w:pPr>
      <w:r w:rsidRPr="00D411BC">
        <w:rPr>
          <w:rFonts w:cs="Tahoma"/>
          <w:sz w:val="20"/>
        </w:rPr>
        <w:t>ANTECEDENTES:</w:t>
      </w:r>
    </w:p>
    <w:p w:rsidR="00AF680E" w:rsidRDefault="00AF680E" w:rsidP="00AF680E">
      <w:pPr>
        <w:pStyle w:val="Prrafodelista"/>
        <w:widowControl/>
        <w:suppressAutoHyphens w:val="0"/>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El 23 de marzo de 2010, el Seguro Social de Salud, en lo sucesivo La Entidad, convocó al proceso electrónico Adjudicación de Menor Cuantía N° 10-2010/ESSALUD, para la contratación del servicio de mantenimiento preventivo y correctivo de equipo electromecáni</w:t>
      </w:r>
      <w:r w:rsidR="003E1F01">
        <w:rPr>
          <w:rFonts w:ascii="Tahoma" w:hAnsi="Tahoma" w:cs="Tahoma"/>
          <w:sz w:val="20"/>
        </w:rPr>
        <w:t>co de la R</w:t>
      </w:r>
      <w:r w:rsidR="001D6F70">
        <w:rPr>
          <w:rFonts w:ascii="Tahoma" w:hAnsi="Tahoma" w:cs="Tahoma"/>
          <w:sz w:val="20"/>
        </w:rPr>
        <w:t xml:space="preserve">ed </w:t>
      </w:r>
      <w:r w:rsidR="003E1F01">
        <w:rPr>
          <w:rFonts w:ascii="Tahoma" w:hAnsi="Tahoma" w:cs="Tahoma"/>
          <w:sz w:val="20"/>
        </w:rPr>
        <w:t>A</w:t>
      </w:r>
      <w:r w:rsidR="001D6F70">
        <w:rPr>
          <w:rFonts w:ascii="Tahoma" w:hAnsi="Tahoma" w:cs="Tahoma"/>
          <w:sz w:val="20"/>
        </w:rPr>
        <w:t>sistencial Madre d</w:t>
      </w:r>
      <w:r w:rsidRPr="00D411BC">
        <w:rPr>
          <w:rFonts w:ascii="Tahoma" w:hAnsi="Tahoma" w:cs="Tahoma"/>
          <w:sz w:val="20"/>
        </w:rPr>
        <w:t>e Dios, por un valor referencial ascendente a S/. 70,000.00 Nuevos Soles.</w:t>
      </w:r>
    </w:p>
    <w:p w:rsidR="00D411BC" w:rsidRPr="00D411BC" w:rsidRDefault="00D411BC" w:rsidP="00AF680E">
      <w:pPr>
        <w:pStyle w:val="Prrafodelista"/>
        <w:ind w:left="0"/>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El 26 de marzo de 2010, el Comité Especial  otorgó la buena pro a la empresa AMKEM ELECTRONIC &amp; BIOMEDICAL COMPANY S.A.C., en adelante el CONTRATISTA.</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El 16 de abril de 2010, se firmó el Contrato Marco Nº 4600035551 entre el Contratista y la Entidad para realizar el servicio de mantenimiento preventivo en un plazo de 12 meses y por monto ascendente a S/. 61, 200.00 Nuevos Soles.</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 xml:space="preserve">Con Informe Nº 015-MTTO-UAIHyS-OA-ESSALUD-2010 de fecha 03 de agosto de 2010, el Técnico de Mantenimiento de la Red Asistencial Madre de Dios, indicó al jefe de adquisiciones e Ingeniería Hospitalaria que el servicio se </w:t>
      </w:r>
      <w:r w:rsidR="00801B47" w:rsidRPr="00D411BC">
        <w:rPr>
          <w:rFonts w:ascii="Tahoma" w:hAnsi="Tahoma" w:cs="Tahoma"/>
          <w:sz w:val="20"/>
        </w:rPr>
        <w:t>venía</w:t>
      </w:r>
      <w:r w:rsidRPr="00D411BC">
        <w:rPr>
          <w:rFonts w:ascii="Tahoma" w:hAnsi="Tahoma" w:cs="Tahoma"/>
          <w:sz w:val="20"/>
        </w:rPr>
        <w:t xml:space="preserve"> realizando con las siguientes irregularidades:</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3"/>
        </w:numPr>
        <w:suppressAutoHyphens w:val="0"/>
        <w:jc w:val="both"/>
        <w:rPr>
          <w:rFonts w:ascii="Tahoma" w:hAnsi="Tahoma" w:cs="Tahoma"/>
          <w:sz w:val="20"/>
        </w:rPr>
      </w:pPr>
      <w:r w:rsidRPr="00D411BC">
        <w:rPr>
          <w:rFonts w:ascii="Tahoma" w:hAnsi="Tahoma" w:cs="Tahoma"/>
          <w:sz w:val="20"/>
        </w:rPr>
        <w:t>No se ha cumplido con la entrega del informe mensual de actividades y la rendición de gastos de su capital de trabajo correspondiente a los meses de junio y julio.</w:t>
      </w:r>
    </w:p>
    <w:p w:rsidR="00D411BC" w:rsidRPr="00D411BC" w:rsidRDefault="00D411BC" w:rsidP="00AF680E">
      <w:pPr>
        <w:pStyle w:val="Prrafodelista"/>
        <w:widowControl/>
        <w:numPr>
          <w:ilvl w:val="0"/>
          <w:numId w:val="13"/>
        </w:numPr>
        <w:suppressAutoHyphens w:val="0"/>
        <w:jc w:val="both"/>
        <w:rPr>
          <w:rFonts w:ascii="Tahoma" w:hAnsi="Tahoma" w:cs="Tahoma"/>
          <w:sz w:val="20"/>
        </w:rPr>
      </w:pPr>
      <w:r w:rsidRPr="00D411BC">
        <w:rPr>
          <w:rFonts w:ascii="Tahoma" w:hAnsi="Tahoma" w:cs="Tahoma"/>
          <w:sz w:val="20"/>
        </w:rPr>
        <w:t xml:space="preserve">Durante el mes de julio el técnico residente sólo ha laborado hasta el 26 de julio de 2010, existiendo 3 días no laborados, tiempo que puso en riesgo el funcionamiento de la planta de tratamiento de aguas servidas, ya que las </w:t>
      </w:r>
      <w:r w:rsidRPr="00D411BC">
        <w:rPr>
          <w:rFonts w:ascii="Tahoma" w:hAnsi="Tahoma" w:cs="Tahoma"/>
          <w:sz w:val="20"/>
        </w:rPr>
        <w:lastRenderedPageBreak/>
        <w:t>electrobombas de impulsión presentaron fallas y se tuvo que intervenir con personal de la Entidad para solucionar el problema.</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Mediante Carta Nº 396-UAIHyS-OA-RAMD-ESSALUD-2010 de fecha 05 de agosto de 2010, al Jefe de Adquisiciones e Ingeniería Hospitalaria le indicó al Contratista que venía incumpliendo con las obligaciones señaladas en el contrato.</w:t>
      </w:r>
    </w:p>
    <w:p w:rsidR="00D411BC" w:rsidRPr="00D411BC" w:rsidRDefault="00D411BC" w:rsidP="00AF680E">
      <w:pPr>
        <w:pStyle w:val="Prrafodelista"/>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Con Informe Nº 018-MTTO-UAIHyS-OA-ESSALUD-2010 de fecha 11 de agosto de 2010, el Técnico de Mantenimiento de la Red Asistencial Madre de Dios, indicó al jefe de adquisiciones e Ingeniería Hospitalaria que no se habían subsanado las observaciones que fueron reportadas anteriormente, manteniéndose a la fecha el incumplimiento por parte del contratista, asimismo, se indicó que el técnico residente solo ha laborado los días 6 y 7, habiéndose acumulado hasta dicha fecha 07 días de inasistencia injustificada. El incumplimiento del servicio se sustenta en los siguientes hechos:</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Incumplimiento en entrega del informe mensual de actividades y  la rendición de gastos de su capital de trabajo correspondientes a junio y julio del presente año.</w:t>
      </w: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Inasistencia injustificada del técnico residente, poniendo en riesgo el normal funcionamiento del equipamiento electromecánico.</w:t>
      </w: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Interrupción del normal funcionamiento de equipos por razones atribuibles al contratista.</w:t>
      </w: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Retraso injustificado en la ejecución del programa de mantenimiento preventivo del equipo electromecánico.</w:t>
      </w: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Falta del programa de mantenimiento preventivo, actualmente se viene trabajando  con referencia al programa de la empresa residente anterior.</w:t>
      </w:r>
    </w:p>
    <w:p w:rsidR="00D411BC" w:rsidRPr="00D411BC" w:rsidRDefault="00D411BC" w:rsidP="00AF680E">
      <w:pPr>
        <w:pStyle w:val="Prrafodelista"/>
        <w:widowControl/>
        <w:numPr>
          <w:ilvl w:val="0"/>
          <w:numId w:val="14"/>
        </w:numPr>
        <w:suppressAutoHyphens w:val="0"/>
        <w:jc w:val="both"/>
        <w:rPr>
          <w:rFonts w:ascii="Tahoma" w:hAnsi="Tahoma" w:cs="Tahoma"/>
          <w:sz w:val="20"/>
        </w:rPr>
      </w:pPr>
      <w:r w:rsidRPr="00D411BC">
        <w:rPr>
          <w:rFonts w:ascii="Tahoma" w:hAnsi="Tahoma" w:cs="Tahoma"/>
          <w:sz w:val="20"/>
        </w:rPr>
        <w:t>Falta de medios físicos para el desarrollo de las actividades de mantenimiento, no se cuenta con documentación que sustente el ingreso de dichos medios al hospital.</w:t>
      </w:r>
    </w:p>
    <w:p w:rsidR="00D411BC" w:rsidRPr="00D411BC" w:rsidRDefault="00D411BC" w:rsidP="00AF680E">
      <w:pPr>
        <w:pStyle w:val="Prrafodelista"/>
        <w:ind w:left="117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 xml:space="preserve">Mediante Carta Nº 0414-UAIHyS-OA-RAMD-ESSALUD de fecha 13 de agosto de 2010, notificada por conducto notarial el 16 del mismo mes y año, la Entidad le indicó al Contratista que venía incumpliendo sus obligaciones, de conformidad al Informe </w:t>
      </w:r>
      <w:r w:rsidRPr="00D411BC">
        <w:rPr>
          <w:rFonts w:ascii="Tahoma" w:hAnsi="Tahoma" w:cs="Tahoma"/>
          <w:sz w:val="20"/>
        </w:rPr>
        <w:br/>
        <w:t>Nº 018-MTTO-UAIHyS-OA-ESSALUD-2010, por tal motivo, se le otorgó 05 días hábiles para que subsane las observaciones señaladas.</w:t>
      </w:r>
    </w:p>
    <w:p w:rsidR="00D411BC" w:rsidRPr="00D411BC" w:rsidRDefault="00D411BC" w:rsidP="00AF680E">
      <w:pPr>
        <w:pStyle w:val="Prrafodelista"/>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Con Informe Nº 020-MTTO-UAIHyS-OA-ESSALUD-2010 de fecha 25 de agosto de 2010, el Técnico de Mantenimiento de la Red Asistencial Madre de Dios, indicó al jefe de adquisiciones e Ingeniería Hospitalaria que, a pesar de haber transcurrido los 05 días hábiles par que el contratista subsane sus obligaciones, las mismas persisten, generando un perjuicio a los fines de la Entidad.</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Mediante Carta Nº AEBCO/GG/083/2010 de  fecha 26 de agosto de 2010, el Contratista indicó a la Entidad que debido a problemas con el personal técnico destacado a la RAMD nos impide continuar con el servicio contratado, por lo que se procedió a suspender el servicio prestado, realizándose las labores solo hasta el 31 de agosto de dicho año.</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 xml:space="preserve">Con Informe Nº 021-MTTO-UAIHyS-OA-ESSALUD-2010 de fecha 26 de agosto de 2010, el Técnico de Mantenimiento de la Red Asistencial Madre de Dios, indicó al jefe de </w:t>
      </w:r>
      <w:r w:rsidRPr="00D411BC">
        <w:rPr>
          <w:rFonts w:ascii="Tahoma" w:hAnsi="Tahoma" w:cs="Tahoma"/>
          <w:sz w:val="20"/>
        </w:rPr>
        <w:lastRenderedPageBreak/>
        <w:t xml:space="preserve">adquisiciones e Ingeniería Hospitalaria que, el técnico residente sólo ha cumplido con levantar las observaciones realizadas a los trabajos de mantenimiento durante el mes anterior y no se realizó ningún mantenimiento preventivo en el equipamiento electromecánico que corresponde al mes en curso,  por lo </w:t>
      </w:r>
      <w:r w:rsidRPr="00D411BC">
        <w:rPr>
          <w:rFonts w:ascii="Tahoma" w:hAnsi="Tahoma" w:cs="Tahoma"/>
          <w:sz w:val="20"/>
        </w:rPr>
        <w:tab/>
        <w:t>que se considera que el servicio solo ha tenido cobertura hasta el 31 de julio de 2010.</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Mediante Carta Nº 0473-UAIHyS-OA-RAMD-ESSALUD de fecha 13 de setiembre de 2010, notificada por conducto notarial el 16 del mismo mes y año, la Entidad le comunicó al Contratista la Resolución de Jefatural Nº 119-OA-DR-RAMD-ESSALUD-2010, con la cual se dispuso resolver el Contrato Marco Nº 460003551.</w:t>
      </w:r>
    </w:p>
    <w:p w:rsidR="00D411BC" w:rsidRPr="00D411BC" w:rsidRDefault="00D411BC" w:rsidP="00AF680E">
      <w:pPr>
        <w:pStyle w:val="Prrafodelista"/>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Con Formulario de aplicación de sanción de fecha 09 de diciembre de 2010, la Entidad  comunicó a este Colegiado los hechos antes expuestos.</w:t>
      </w:r>
    </w:p>
    <w:p w:rsidR="00D411BC" w:rsidRPr="00D411BC" w:rsidRDefault="00D411BC" w:rsidP="00AF680E">
      <w:pPr>
        <w:pStyle w:val="Prrafodelista"/>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 xml:space="preserve">Por decreto de fecha 14 de diciembre de 2010, de manera previa al inicio del procedimiento administrativo sancionador, se solicitó a la Entidad, que subsane su comunicación,  </w:t>
      </w:r>
      <w:r w:rsidRPr="00D411BC">
        <w:rPr>
          <w:rFonts w:ascii="Tahoma" w:hAnsi="Tahoma" w:cs="Tahoma"/>
          <w:color w:val="000000"/>
          <w:sz w:val="20"/>
        </w:rPr>
        <w:t xml:space="preserve">debiendo remitir copia de las </w:t>
      </w:r>
      <w:r w:rsidRPr="00D411BC">
        <w:rPr>
          <w:rFonts w:ascii="Tahoma" w:hAnsi="Tahoma" w:cs="Tahoma"/>
          <w:color w:val="000000"/>
          <w:sz w:val="20"/>
          <w:u w:val="single"/>
        </w:rPr>
        <w:t>cartas notariales</w:t>
      </w:r>
      <w:r w:rsidRPr="00D411BC">
        <w:rPr>
          <w:rFonts w:ascii="Tahoma" w:hAnsi="Tahoma" w:cs="Tahoma"/>
          <w:color w:val="000000"/>
          <w:sz w:val="20"/>
        </w:rPr>
        <w:t xml:space="preserve">, </w:t>
      </w:r>
      <w:r w:rsidRPr="00D411BC">
        <w:rPr>
          <w:rFonts w:ascii="Tahoma" w:hAnsi="Tahoma" w:cs="Tahoma"/>
          <w:color w:val="000000"/>
          <w:sz w:val="20"/>
          <w:u w:val="single"/>
        </w:rPr>
        <w:t>debidamente recibidas por el contratista (con fecha de recepción) y/o diligenciadas</w:t>
      </w:r>
      <w:r w:rsidRPr="00D411BC">
        <w:rPr>
          <w:rFonts w:ascii="Tahoma" w:hAnsi="Tahoma" w:cs="Tahoma"/>
          <w:color w:val="000000"/>
          <w:sz w:val="20"/>
        </w:rPr>
        <w:t xml:space="preserve">, mediante las cuales se requirió el cumplimiento de sus obligaciones a la empresa </w:t>
      </w:r>
      <w:r w:rsidRPr="00D411BC">
        <w:rPr>
          <w:rFonts w:ascii="Tahoma" w:hAnsi="Tahoma" w:cs="Tahoma"/>
          <w:b/>
          <w:bCs/>
          <w:color w:val="000000"/>
          <w:sz w:val="20"/>
        </w:rPr>
        <w:t xml:space="preserve">AMKEM ELECTRONIC &amp; BIOMEDICAL COMPANY S.A.C. </w:t>
      </w:r>
      <w:r w:rsidRPr="00D411BC">
        <w:rPr>
          <w:rFonts w:ascii="Tahoma" w:hAnsi="Tahoma" w:cs="Tahoma"/>
          <w:color w:val="000000"/>
          <w:sz w:val="20"/>
        </w:rPr>
        <w:t xml:space="preserve">y se le comunicó la resolución del Contrato; toda vez que de la revisión de las cartas notariales remitidas, no se tiene fecha cierta de recepción; asimismo, señalar </w:t>
      </w:r>
      <w:r w:rsidRPr="00D411BC">
        <w:rPr>
          <w:rFonts w:ascii="Tahoma" w:hAnsi="Tahoma" w:cs="Tahoma"/>
          <w:b/>
          <w:bCs/>
          <w:color w:val="000000"/>
          <w:sz w:val="20"/>
          <w:u w:val="single"/>
        </w:rPr>
        <w:t>si la presente controversia ha sido sometida a procedimiento arbitral u otro mecanismo de solución</w:t>
      </w:r>
      <w:r w:rsidRPr="00D411BC">
        <w:rPr>
          <w:rFonts w:ascii="Tahoma" w:hAnsi="Tahoma" w:cs="Tahoma"/>
          <w:b/>
          <w:bCs/>
          <w:color w:val="000000"/>
          <w:sz w:val="20"/>
        </w:rPr>
        <w:t>,</w:t>
      </w:r>
      <w:r w:rsidRPr="00D411BC">
        <w:rPr>
          <w:rFonts w:ascii="Tahoma" w:hAnsi="Tahoma" w:cs="Tahoma"/>
          <w:color w:val="000000"/>
          <w:sz w:val="20"/>
        </w:rPr>
        <w:t xml:space="preserve"> y remitir, de ser el caso, la Demanda Arbitral y Acta de Instalación del Tribunal Arbitral correspondiente</w:t>
      </w:r>
      <w:r w:rsidRPr="00D411BC">
        <w:rPr>
          <w:rFonts w:ascii="Tahoma" w:hAnsi="Tahoma" w:cs="Tahoma"/>
          <w:b/>
          <w:bCs/>
          <w:color w:val="000000"/>
          <w:sz w:val="20"/>
        </w:rPr>
        <w:t>.</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Mediante Carta Nº 037-UAIHyS-OA-RAMD-ESSALUD-2011, de fecha 07 de febrero de 2011, la Entidad remitió la información requerida.</w:t>
      </w:r>
    </w:p>
    <w:p w:rsidR="00D411BC" w:rsidRPr="00D411BC" w:rsidRDefault="00D411BC" w:rsidP="00AF680E">
      <w:pPr>
        <w:pStyle w:val="Prrafodelista"/>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Por decreto del 08 de febrero de 2011, el Tribunal dispuso el inicio del procedimiento administrativo sancionador al Contratista por su supuesta responsabilidad al haber dado lugar a la resolución de Contrato Marco Nº 4600035551, derivada de la Adjudicación de Menor Cuantía N° 10-2010/ESSALUD</w:t>
      </w:r>
      <w:r w:rsidRPr="00D411BC">
        <w:rPr>
          <w:rFonts w:ascii="Tahoma" w:hAnsi="Tahoma" w:cs="Tahoma"/>
          <w:sz w:val="20"/>
          <w:lang w:eastAsia="en-US"/>
        </w:rPr>
        <w:t xml:space="preserve">; infracción tipificada en el literal b) del  numeral 51.1 del artículo 51 de la Ley de Contrataciones del Estado, aprobada por Decreto Legislativo Nº 1017, así como en el numeral 1 literal b) del artículo 237 de su  Reglamento. </w:t>
      </w:r>
      <w:r w:rsidRPr="00D411BC">
        <w:rPr>
          <w:rFonts w:ascii="Tahoma" w:hAnsi="Tahoma" w:cs="Tahoma"/>
          <w:sz w:val="20"/>
        </w:rPr>
        <w:t>Asimismo, se le emplazó para que dentro del plazo de diez (10) días hábiles presente sus descargos, bajo apercibimiento de resolver con la documentación obrante en autos.</w:t>
      </w:r>
    </w:p>
    <w:p w:rsidR="00D411BC" w:rsidRPr="00D411BC" w:rsidRDefault="00D411BC" w:rsidP="00AF680E">
      <w:pPr>
        <w:pStyle w:val="Prrafodelista"/>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rPr>
        <w:t>Con escrito de fecha 28 de abril de 2011, el Contratista se apersonó al presente procedimiento y presentó sus descargos en los siguientes términos:</w:t>
      </w:r>
    </w:p>
    <w:p w:rsidR="00D411BC" w:rsidRPr="00D411BC" w:rsidRDefault="00D411BC" w:rsidP="00AF680E">
      <w:pPr>
        <w:pStyle w:val="Prrafodelista"/>
        <w:jc w:val="both"/>
        <w:rPr>
          <w:rFonts w:ascii="Tahoma" w:hAnsi="Tahoma" w:cs="Tahoma"/>
          <w:sz w:val="20"/>
        </w:rPr>
      </w:pPr>
    </w:p>
    <w:p w:rsidR="00D411BC" w:rsidRPr="00D411BC" w:rsidRDefault="00D411BC" w:rsidP="00AF680E">
      <w:pPr>
        <w:pStyle w:val="Prrafodelista"/>
        <w:widowControl/>
        <w:numPr>
          <w:ilvl w:val="0"/>
          <w:numId w:val="5"/>
        </w:numPr>
        <w:suppressAutoHyphens w:val="0"/>
        <w:jc w:val="both"/>
        <w:rPr>
          <w:rFonts w:ascii="Tahoma" w:hAnsi="Tahoma" w:cs="Tahoma"/>
          <w:sz w:val="20"/>
        </w:rPr>
      </w:pPr>
      <w:r w:rsidRPr="00D411BC">
        <w:rPr>
          <w:rFonts w:ascii="Tahoma" w:hAnsi="Tahoma" w:cs="Tahoma"/>
          <w:sz w:val="20"/>
        </w:rPr>
        <w:t>Se tomo conocimiento de los cuestionamientos realizados al desempeño del técnico destacado, a quien no se le pudo ubicar en ninguno de sus domicilios.</w:t>
      </w:r>
    </w:p>
    <w:p w:rsidR="00D411BC" w:rsidRPr="00D411BC" w:rsidRDefault="00D411BC" w:rsidP="00AF680E">
      <w:pPr>
        <w:pStyle w:val="Prrafodelista"/>
        <w:widowControl/>
        <w:numPr>
          <w:ilvl w:val="0"/>
          <w:numId w:val="5"/>
        </w:numPr>
        <w:suppressAutoHyphens w:val="0"/>
        <w:jc w:val="both"/>
        <w:rPr>
          <w:rFonts w:ascii="Tahoma" w:hAnsi="Tahoma" w:cs="Tahoma"/>
          <w:sz w:val="20"/>
        </w:rPr>
      </w:pPr>
      <w:r w:rsidRPr="00D411BC">
        <w:rPr>
          <w:rFonts w:ascii="Tahoma" w:hAnsi="Tahoma" w:cs="Tahoma"/>
          <w:sz w:val="20"/>
        </w:rPr>
        <w:t>A pesar de tener la mayor voluntad en pretender sanear las deficiencias del servicio, resulta permisible advertir que un servicio va concatenado a otro, lo que sin duda dificulta presentar un informe que pueda proporcionar información y datos coherentes, razón por la que en las conversaciones sostenidas con la Entidad, se le solicitó la resolución del vínculo contractual.</w:t>
      </w:r>
    </w:p>
    <w:p w:rsidR="00D411BC" w:rsidRPr="00D411BC" w:rsidRDefault="00D411BC" w:rsidP="00AF680E">
      <w:pPr>
        <w:pStyle w:val="Prrafodelista"/>
        <w:widowControl/>
        <w:numPr>
          <w:ilvl w:val="0"/>
          <w:numId w:val="5"/>
        </w:numPr>
        <w:suppressAutoHyphens w:val="0"/>
        <w:jc w:val="both"/>
        <w:rPr>
          <w:rFonts w:ascii="Tahoma" w:hAnsi="Tahoma" w:cs="Tahoma"/>
          <w:sz w:val="20"/>
        </w:rPr>
      </w:pPr>
      <w:r w:rsidRPr="00D411BC">
        <w:rPr>
          <w:rFonts w:ascii="Tahoma" w:hAnsi="Tahoma" w:cs="Tahoma"/>
          <w:sz w:val="20"/>
        </w:rPr>
        <w:lastRenderedPageBreak/>
        <w:t>Se intentó suplir al técnico cuestionado, sin embargo, no se pudo reemplazar a un profesional en sus funciones, por lo que se solicito resolver el vínculo contractual.</w:t>
      </w:r>
    </w:p>
    <w:p w:rsidR="00D411BC" w:rsidRPr="00D411BC" w:rsidRDefault="00D411BC" w:rsidP="00AF680E">
      <w:pPr>
        <w:pStyle w:val="Prrafodelista"/>
        <w:widowControl/>
        <w:numPr>
          <w:ilvl w:val="0"/>
          <w:numId w:val="5"/>
        </w:numPr>
        <w:suppressAutoHyphens w:val="0"/>
        <w:jc w:val="both"/>
        <w:rPr>
          <w:rFonts w:ascii="Tahoma" w:hAnsi="Tahoma" w:cs="Tahoma"/>
          <w:sz w:val="20"/>
        </w:rPr>
      </w:pPr>
      <w:r w:rsidRPr="00D411BC">
        <w:rPr>
          <w:rFonts w:ascii="Tahoma" w:hAnsi="Tahoma" w:cs="Tahoma"/>
          <w:sz w:val="20"/>
        </w:rPr>
        <w:t>Si bien los argumentos  esgrimidos no justifican en lo absoluto  el accionar de un personal  que se encontraba bajo nuestra subordinación, debe considerarse que la empresa contaba con un record sobresaliente en el servicio otorgado, ya que se cuenta con servicio en distintas regiones.</w:t>
      </w:r>
    </w:p>
    <w:p w:rsidR="00D411BC" w:rsidRPr="00D411BC" w:rsidRDefault="00D411BC" w:rsidP="00AF680E">
      <w:pPr>
        <w:pStyle w:val="Prrafodelista"/>
        <w:widowControl/>
        <w:numPr>
          <w:ilvl w:val="0"/>
          <w:numId w:val="5"/>
        </w:numPr>
        <w:suppressAutoHyphens w:val="0"/>
        <w:jc w:val="both"/>
        <w:rPr>
          <w:rFonts w:ascii="Tahoma" w:hAnsi="Tahoma" w:cs="Tahoma"/>
          <w:sz w:val="20"/>
        </w:rPr>
      </w:pPr>
      <w:r w:rsidRPr="00D411BC">
        <w:rPr>
          <w:rFonts w:ascii="Tahoma" w:hAnsi="Tahoma" w:cs="Tahoma"/>
          <w:sz w:val="20"/>
        </w:rPr>
        <w:t>Finalmente, solicitó sea indulgentes para el momento de emitir la sanción respectiva.</w:t>
      </w:r>
    </w:p>
    <w:p w:rsidR="00D411BC" w:rsidRPr="00D411BC" w:rsidRDefault="00D411BC" w:rsidP="00AF680E">
      <w:pPr>
        <w:pStyle w:val="Prrafodelista"/>
        <w:ind w:left="454"/>
        <w:jc w:val="both"/>
        <w:rPr>
          <w:rFonts w:ascii="Tahoma" w:hAnsi="Tahoma" w:cs="Tahoma"/>
          <w:sz w:val="20"/>
        </w:rPr>
      </w:pPr>
    </w:p>
    <w:p w:rsidR="00D411BC" w:rsidRPr="00D411BC" w:rsidRDefault="00D411BC" w:rsidP="00AF680E">
      <w:pPr>
        <w:pStyle w:val="Prrafodelista"/>
        <w:widowControl/>
        <w:numPr>
          <w:ilvl w:val="0"/>
          <w:numId w:val="1"/>
        </w:numPr>
        <w:suppressAutoHyphens w:val="0"/>
        <w:jc w:val="both"/>
        <w:rPr>
          <w:rFonts w:ascii="Tahoma" w:hAnsi="Tahoma" w:cs="Tahoma"/>
          <w:sz w:val="20"/>
        </w:rPr>
      </w:pPr>
      <w:r w:rsidRPr="00D411BC">
        <w:rPr>
          <w:rFonts w:ascii="Tahoma" w:hAnsi="Tahoma" w:cs="Tahoma"/>
          <w:sz w:val="20"/>
          <w:lang w:val="es-PE"/>
        </w:rPr>
        <w:t>Con decreto de fecha 29 de abril de 2011, se remitió el expediente a la Primera Sala del Tribunal para que emita pronunciamiento.</w:t>
      </w:r>
    </w:p>
    <w:p w:rsidR="00D411BC" w:rsidRPr="00D411BC" w:rsidRDefault="00D411BC" w:rsidP="00AF680E">
      <w:pPr>
        <w:pStyle w:val="Prrafodelista"/>
        <w:ind w:left="567"/>
        <w:jc w:val="both"/>
        <w:rPr>
          <w:rFonts w:ascii="Tahoma" w:hAnsi="Tahoma" w:cs="Tahoma"/>
          <w:sz w:val="20"/>
        </w:rPr>
      </w:pPr>
    </w:p>
    <w:p w:rsidR="00D411BC" w:rsidRPr="00D411BC" w:rsidRDefault="00D411BC" w:rsidP="00AF680E">
      <w:pPr>
        <w:tabs>
          <w:tab w:val="num" w:pos="9720"/>
        </w:tabs>
        <w:spacing w:after="0" w:line="240" w:lineRule="auto"/>
        <w:jc w:val="both"/>
        <w:rPr>
          <w:rFonts w:ascii="Tahoma" w:hAnsi="Tahoma" w:cs="Tahoma"/>
          <w:b/>
          <w:sz w:val="20"/>
          <w:szCs w:val="20"/>
        </w:rPr>
      </w:pPr>
      <w:r w:rsidRPr="00D411BC">
        <w:rPr>
          <w:rFonts w:ascii="Tahoma" w:hAnsi="Tahoma" w:cs="Tahoma"/>
          <w:b/>
          <w:sz w:val="20"/>
          <w:szCs w:val="20"/>
        </w:rPr>
        <w:t>FUNDAMENTACIÓN:</w:t>
      </w:r>
    </w:p>
    <w:p w:rsidR="00D411BC" w:rsidRPr="00D411BC" w:rsidRDefault="00D411BC" w:rsidP="00AF680E">
      <w:pPr>
        <w:spacing w:after="0" w:line="240" w:lineRule="auto"/>
        <w:ind w:left="900"/>
        <w:jc w:val="both"/>
        <w:rPr>
          <w:rFonts w:ascii="Tahoma" w:hAnsi="Tahoma" w:cs="Tahoma"/>
          <w:sz w:val="20"/>
          <w:szCs w:val="20"/>
        </w:rPr>
      </w:pPr>
    </w:p>
    <w:p w:rsidR="00D411BC" w:rsidRPr="00D411BC" w:rsidRDefault="00D411BC" w:rsidP="00AF680E">
      <w:pPr>
        <w:numPr>
          <w:ilvl w:val="3"/>
          <w:numId w:val="9"/>
        </w:numPr>
        <w:tabs>
          <w:tab w:val="clear" w:pos="900"/>
          <w:tab w:val="left" w:pos="180"/>
          <w:tab w:val="num" w:pos="540"/>
        </w:tabs>
        <w:spacing w:after="0" w:line="240" w:lineRule="auto"/>
        <w:ind w:left="540"/>
        <w:jc w:val="both"/>
        <w:rPr>
          <w:rFonts w:ascii="Tahoma" w:hAnsi="Tahoma" w:cs="Tahoma"/>
          <w:sz w:val="20"/>
          <w:szCs w:val="20"/>
        </w:rPr>
      </w:pPr>
      <w:r w:rsidRPr="00D411BC">
        <w:rPr>
          <w:rFonts w:ascii="Tahoma" w:hAnsi="Tahoma" w:cs="Tahoma"/>
          <w:sz w:val="20"/>
          <w:szCs w:val="20"/>
        </w:rPr>
        <w:t>El presente procedimiento está orientado a determinar si la  empresa AMKEM ELECTRONIC &amp; BIOMEDICAL COMPANY S.A.C. incurrió en responsabilidad administrativa por dar lugar a la resolución del Contrato Marco Nº 4600035551, derivado de la Adjudicación de Menor Cuantía N° 10-2010/ESSALUD, por causal atribuible a su parte; infracción tipificada en el literal b) del  numeral 51.1 del artículo 51 de la Ley de Contrataciones del Estado</w:t>
      </w:r>
      <w:r w:rsidRPr="00D411BC">
        <w:rPr>
          <w:rFonts w:ascii="Tahoma" w:hAnsi="Tahoma" w:cs="Tahoma"/>
          <w:sz w:val="20"/>
          <w:szCs w:val="20"/>
          <w:vertAlign w:val="superscript"/>
        </w:rPr>
        <w:footnoteReference w:id="2"/>
      </w:r>
      <w:r w:rsidRPr="00D411BC">
        <w:rPr>
          <w:rFonts w:ascii="Tahoma" w:hAnsi="Tahoma" w:cs="Tahoma"/>
          <w:sz w:val="20"/>
          <w:szCs w:val="20"/>
        </w:rPr>
        <w:t>, en adelante la Ley, así como en el numeral 1 literal b) del artículo 237 de su  Reglamento</w:t>
      </w:r>
      <w:r w:rsidRPr="00D411BC">
        <w:rPr>
          <w:rFonts w:ascii="Tahoma" w:hAnsi="Tahoma" w:cs="Tahoma"/>
          <w:sz w:val="20"/>
          <w:szCs w:val="20"/>
          <w:vertAlign w:val="superscript"/>
        </w:rPr>
        <w:footnoteReference w:id="3"/>
      </w:r>
      <w:r w:rsidRPr="00D411BC">
        <w:rPr>
          <w:rFonts w:ascii="Tahoma" w:hAnsi="Tahoma" w:cs="Tahoma"/>
          <w:sz w:val="20"/>
          <w:szCs w:val="20"/>
        </w:rPr>
        <w:t xml:space="preserve">, que establece como supuesto de hecho indispensable para su configuración, </w:t>
      </w:r>
      <w:r w:rsidRPr="00D411BC">
        <w:rPr>
          <w:rFonts w:ascii="Tahoma" w:hAnsi="Tahoma" w:cs="Tahoma"/>
          <w:b/>
          <w:bCs/>
          <w:sz w:val="20"/>
          <w:szCs w:val="20"/>
        </w:rPr>
        <w:t>la resolución del contrato, orden de compra o de servicios, según corresponda, por causal atribuible a el Contratista</w:t>
      </w:r>
      <w:r w:rsidRPr="00D411BC">
        <w:rPr>
          <w:rFonts w:ascii="Tahoma" w:hAnsi="Tahoma" w:cs="Tahoma"/>
          <w:sz w:val="20"/>
          <w:szCs w:val="20"/>
        </w:rPr>
        <w:t>.</w:t>
      </w:r>
    </w:p>
    <w:p w:rsidR="00AF680E" w:rsidRDefault="00AF680E" w:rsidP="00AF680E">
      <w:pPr>
        <w:spacing w:after="0" w:line="240" w:lineRule="auto"/>
        <w:ind w:left="540"/>
        <w:rPr>
          <w:rFonts w:ascii="Tahoma" w:hAnsi="Tahoma" w:cs="Tahoma"/>
          <w:b/>
          <w:bCs/>
          <w:i/>
          <w:iCs/>
          <w:sz w:val="20"/>
          <w:szCs w:val="20"/>
          <w:u w:val="single"/>
        </w:rPr>
      </w:pPr>
    </w:p>
    <w:p w:rsidR="00D411BC" w:rsidRPr="00D411BC" w:rsidRDefault="00D411BC" w:rsidP="00AF680E">
      <w:pPr>
        <w:spacing w:after="0" w:line="240" w:lineRule="auto"/>
        <w:ind w:left="540"/>
        <w:rPr>
          <w:rFonts w:ascii="Tahoma" w:hAnsi="Tahoma" w:cs="Tahoma"/>
          <w:b/>
          <w:bCs/>
          <w:i/>
          <w:iCs/>
          <w:sz w:val="20"/>
          <w:szCs w:val="20"/>
          <w:u w:val="single"/>
        </w:rPr>
      </w:pPr>
      <w:r w:rsidRPr="00D411BC">
        <w:rPr>
          <w:rFonts w:ascii="Tahoma" w:hAnsi="Tahoma" w:cs="Tahoma"/>
          <w:b/>
          <w:bCs/>
          <w:i/>
          <w:iCs/>
          <w:sz w:val="20"/>
          <w:szCs w:val="20"/>
          <w:u w:val="single"/>
        </w:rPr>
        <w:t>Respecto de la Resolución de Contrato</w:t>
      </w: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De acuerdo con el inciso c) del artículo 40 de la Ley,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o superior nivel jerárquico que aquella que haya suscrito el contrato.  El contrato queda resuelto de pleno derecho a partir de la recepción de dicha comunicación por el contratista.  El requerimiento previo por parte de la Entidad podrá omitirse en los casos que señale el Reglamento.  Igual derecho asiste al contratista ante el incumplimiento de la Entidad de sus obligaciones esenciales, siempre que el contratista la haya emplazado mediante carta notarial y ésta no haya subsanado el incumplimiento.</w:t>
      </w:r>
    </w:p>
    <w:p w:rsidR="00D411BC" w:rsidRPr="00D411BC" w:rsidRDefault="00D411BC" w:rsidP="00AF680E">
      <w:pPr>
        <w:spacing w:after="0" w:line="240" w:lineRule="auto"/>
        <w:ind w:left="644"/>
        <w:rPr>
          <w:rFonts w:ascii="Tahoma" w:hAnsi="Tahoma" w:cs="Tahoma"/>
          <w:sz w:val="20"/>
          <w:szCs w:val="20"/>
        </w:rPr>
      </w:pP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En línea con lo anterior, el artículo 168 del Reglamento dispone que la Entidad podrá resolver el contrato, de conformidad con el inciso c) del artículo 40 de la Ley, en los casos que el contratista:</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7"/>
        </w:numPr>
        <w:spacing w:after="0" w:line="240" w:lineRule="auto"/>
        <w:jc w:val="both"/>
        <w:rPr>
          <w:rFonts w:ascii="Tahoma" w:hAnsi="Tahoma" w:cs="Tahoma"/>
          <w:i/>
          <w:iCs/>
          <w:sz w:val="20"/>
          <w:szCs w:val="20"/>
        </w:rPr>
      </w:pPr>
      <w:r w:rsidRPr="00D411BC">
        <w:rPr>
          <w:rFonts w:ascii="Tahoma" w:hAnsi="Tahoma" w:cs="Tahoma"/>
          <w:i/>
          <w:iCs/>
          <w:sz w:val="20"/>
          <w:szCs w:val="20"/>
        </w:rPr>
        <w:t>Incumpla injustificadamente obligaciones contractuales, legales o reglamentarias a su cargo, a pesar de haber sido requerido para ello.</w:t>
      </w:r>
    </w:p>
    <w:p w:rsidR="00D411BC" w:rsidRPr="00D411BC" w:rsidRDefault="00D411BC" w:rsidP="00AF680E">
      <w:pPr>
        <w:spacing w:after="0" w:line="240" w:lineRule="auto"/>
        <w:ind w:left="720"/>
        <w:rPr>
          <w:rFonts w:ascii="Tahoma" w:hAnsi="Tahoma" w:cs="Tahoma"/>
          <w:i/>
          <w:iCs/>
          <w:sz w:val="20"/>
          <w:szCs w:val="20"/>
        </w:rPr>
      </w:pPr>
    </w:p>
    <w:p w:rsidR="00D411BC" w:rsidRPr="00D411BC" w:rsidRDefault="00D411BC" w:rsidP="00AF680E">
      <w:pPr>
        <w:numPr>
          <w:ilvl w:val="0"/>
          <w:numId w:val="7"/>
        </w:numPr>
        <w:spacing w:after="0" w:line="240" w:lineRule="auto"/>
        <w:jc w:val="both"/>
        <w:rPr>
          <w:rFonts w:ascii="Tahoma" w:hAnsi="Tahoma" w:cs="Tahoma"/>
          <w:i/>
          <w:iCs/>
          <w:sz w:val="20"/>
          <w:szCs w:val="20"/>
        </w:rPr>
      </w:pPr>
      <w:r w:rsidRPr="00D411BC">
        <w:rPr>
          <w:rFonts w:ascii="Tahoma" w:hAnsi="Tahoma" w:cs="Tahoma"/>
          <w:i/>
          <w:iCs/>
          <w:sz w:val="20"/>
          <w:szCs w:val="20"/>
        </w:rPr>
        <w:lastRenderedPageBreak/>
        <w:t>Haya llegado a acumular el monto máximo de la penalidad por mora o el monto máximo para otras penalidades en la ejecución de la prestación a su cargo; o</w:t>
      </w:r>
    </w:p>
    <w:p w:rsidR="00D411BC" w:rsidRPr="00D411BC" w:rsidRDefault="00D411BC" w:rsidP="00AF680E">
      <w:pPr>
        <w:spacing w:after="0" w:line="240" w:lineRule="auto"/>
        <w:ind w:left="720"/>
        <w:rPr>
          <w:rFonts w:ascii="Tahoma" w:hAnsi="Tahoma" w:cs="Tahoma"/>
          <w:i/>
          <w:iCs/>
          <w:sz w:val="20"/>
          <w:szCs w:val="20"/>
        </w:rPr>
      </w:pPr>
    </w:p>
    <w:p w:rsidR="00D411BC" w:rsidRPr="00D411BC" w:rsidRDefault="00D411BC" w:rsidP="00AF680E">
      <w:pPr>
        <w:numPr>
          <w:ilvl w:val="0"/>
          <w:numId w:val="7"/>
        </w:numPr>
        <w:spacing w:after="0" w:line="240" w:lineRule="auto"/>
        <w:jc w:val="both"/>
        <w:rPr>
          <w:rFonts w:ascii="Tahoma" w:hAnsi="Tahoma" w:cs="Tahoma"/>
          <w:i/>
          <w:iCs/>
          <w:sz w:val="20"/>
          <w:szCs w:val="20"/>
        </w:rPr>
      </w:pPr>
      <w:r w:rsidRPr="00D411BC">
        <w:rPr>
          <w:rFonts w:ascii="Tahoma" w:hAnsi="Tahoma" w:cs="Tahoma"/>
          <w:i/>
          <w:iCs/>
          <w:sz w:val="20"/>
          <w:szCs w:val="20"/>
        </w:rPr>
        <w:t>Paralice o reduzca injustificadamente la ejecución de la prestación, pesar a haber sido requerido para corregir tal situación.</w:t>
      </w:r>
    </w:p>
    <w:p w:rsidR="00D411BC" w:rsidRPr="00D411BC" w:rsidRDefault="00D411BC" w:rsidP="00AF680E">
      <w:pPr>
        <w:spacing w:after="0" w:line="240" w:lineRule="auto"/>
        <w:ind w:left="644"/>
        <w:rPr>
          <w:rFonts w:ascii="Tahoma" w:hAnsi="Tahoma" w:cs="Tahoma"/>
          <w:sz w:val="20"/>
          <w:szCs w:val="20"/>
        </w:rPr>
      </w:pP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 xml:space="preserve"> De conformidad con lo dispuesto en el artículo 169º del Reglamento, </w:t>
      </w:r>
      <w:r w:rsidRPr="00D411BC">
        <w:rPr>
          <w:rFonts w:ascii="Tahoma" w:hAnsi="Tahoma" w:cs="Tahoma"/>
          <w:b/>
          <w:bCs/>
          <w:sz w:val="20"/>
          <w:szCs w:val="20"/>
        </w:rPr>
        <w:t>si alguna de las partes falta al cumplimiento de sus obligaciones, la parte perjudicada deberá requerirla mediante carta notarial</w:t>
      </w:r>
      <w:r w:rsidRPr="00D411BC">
        <w:rPr>
          <w:rFonts w:ascii="Tahoma" w:hAnsi="Tahoma" w:cs="Tahoma"/>
          <w:sz w:val="20"/>
          <w:szCs w:val="20"/>
        </w:rPr>
        <w:t xml:space="preserve"> para que las satisfaga en un plazo </w:t>
      </w:r>
      <w:r w:rsidRPr="00D411BC">
        <w:rPr>
          <w:rFonts w:ascii="Tahoma" w:hAnsi="Tahoma" w:cs="Tahoma"/>
          <w:sz w:val="20"/>
          <w:szCs w:val="20"/>
          <w:u w:val="single"/>
        </w:rPr>
        <w:t>no mayor a cinco</w:t>
      </w:r>
      <w:r w:rsidRPr="00D411BC">
        <w:rPr>
          <w:rFonts w:ascii="Tahoma" w:hAnsi="Tahoma" w:cs="Tahoma"/>
          <w:sz w:val="20"/>
          <w:szCs w:val="20"/>
        </w:rPr>
        <w:t xml:space="preserve"> (5) días, bajo apercibimiento de resolver el contrato.  Dependiendo del monto contractual y la complejidad, envergadura o sofisticación de 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mediante carta notarial la decisión de resolver el contrato.</w:t>
      </w:r>
    </w:p>
    <w:p w:rsidR="00AF680E" w:rsidRDefault="00AF680E" w:rsidP="00AF680E">
      <w:pPr>
        <w:spacing w:after="0" w:line="240" w:lineRule="auto"/>
        <w:ind w:left="540"/>
        <w:jc w:val="both"/>
        <w:rPr>
          <w:rFonts w:ascii="Tahoma" w:hAnsi="Tahoma" w:cs="Tahoma"/>
          <w:sz w:val="20"/>
          <w:szCs w:val="20"/>
        </w:rPr>
      </w:pP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 xml:space="preserve"> 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 generado el incumplimiento contractual, sin el Tribunal lograr verificar que la Entidad no ha resuelto el contrato en observancia de las normas citadas, la conducto no será pasible de sanción. Este criterio, además, ha sido recogido en el Acuerdo de Sala Plena Nº 018/010 del 04 de septiembre de 2002.</w:t>
      </w:r>
      <w:r w:rsidRPr="00D411BC">
        <w:rPr>
          <w:rFonts w:ascii="Tahoma" w:hAnsi="Tahoma" w:cs="Tahoma"/>
          <w:sz w:val="20"/>
          <w:szCs w:val="20"/>
          <w:vertAlign w:val="superscript"/>
        </w:rPr>
        <w:footnoteReference w:id="4"/>
      </w:r>
    </w:p>
    <w:p w:rsidR="00AF680E" w:rsidRDefault="00AF680E" w:rsidP="00AF680E">
      <w:pPr>
        <w:spacing w:after="0" w:line="240" w:lineRule="auto"/>
        <w:ind w:left="540"/>
        <w:jc w:val="both"/>
        <w:rPr>
          <w:rFonts w:ascii="Tahoma" w:hAnsi="Tahoma" w:cs="Tahoma"/>
          <w:sz w:val="20"/>
          <w:szCs w:val="20"/>
        </w:rPr>
      </w:pP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En ese orden de ideas, corresponde determinar de manera previa si la Entidad ha seguido el debido procedimiento para la resolución de contrato, conforme a lo previsto en el artículo 168º y 169º del Reglamento.</w:t>
      </w:r>
    </w:p>
    <w:p w:rsidR="00AF680E" w:rsidRDefault="00AF680E" w:rsidP="00AF680E">
      <w:pPr>
        <w:spacing w:after="0" w:line="240" w:lineRule="auto"/>
        <w:ind w:left="540"/>
        <w:jc w:val="both"/>
        <w:rPr>
          <w:rFonts w:ascii="Tahoma" w:hAnsi="Tahoma" w:cs="Tahoma"/>
          <w:sz w:val="20"/>
          <w:szCs w:val="20"/>
        </w:rPr>
      </w:pPr>
    </w:p>
    <w:p w:rsidR="00D411BC" w:rsidRPr="00D411BC" w:rsidRDefault="00D411BC" w:rsidP="00AF680E">
      <w:pPr>
        <w:numPr>
          <w:ilvl w:val="0"/>
          <w:numId w:val="9"/>
        </w:numPr>
        <w:tabs>
          <w:tab w:val="clear" w:pos="644"/>
          <w:tab w:val="num" w:pos="540"/>
        </w:tabs>
        <w:spacing w:after="0" w:line="240" w:lineRule="auto"/>
        <w:ind w:left="540"/>
        <w:jc w:val="both"/>
        <w:rPr>
          <w:rFonts w:ascii="Tahoma" w:hAnsi="Tahoma" w:cs="Tahoma"/>
          <w:sz w:val="20"/>
          <w:szCs w:val="20"/>
        </w:rPr>
      </w:pPr>
      <w:r w:rsidRPr="00D411BC">
        <w:rPr>
          <w:rFonts w:ascii="Tahoma" w:hAnsi="Tahoma" w:cs="Tahoma"/>
          <w:sz w:val="20"/>
          <w:szCs w:val="20"/>
        </w:rPr>
        <w:t>Sobre el particular, de la documentación obrante en autos, se observa que la Entidad remitió al Contratista, vía conducto notarial, tres (03) comunicaciones:</w:t>
      </w:r>
    </w:p>
    <w:p w:rsidR="00D411BC" w:rsidRPr="00D411BC" w:rsidRDefault="00D411BC" w:rsidP="00AF680E">
      <w:pPr>
        <w:spacing w:after="0" w:line="240" w:lineRule="auto"/>
        <w:ind w:left="720"/>
        <w:rPr>
          <w:rFonts w:ascii="Tahoma" w:hAnsi="Tahoma" w:cs="Tahoma"/>
          <w:sz w:val="20"/>
          <w:szCs w:val="20"/>
        </w:rPr>
      </w:pPr>
    </w:p>
    <w:p w:rsidR="00D411BC" w:rsidRPr="00D411BC" w:rsidRDefault="00D411BC" w:rsidP="00AF680E">
      <w:pPr>
        <w:numPr>
          <w:ilvl w:val="0"/>
          <w:numId w:val="8"/>
        </w:numPr>
        <w:spacing w:after="0" w:line="240" w:lineRule="auto"/>
        <w:jc w:val="both"/>
        <w:rPr>
          <w:rFonts w:ascii="Tahoma" w:hAnsi="Tahoma" w:cs="Tahoma"/>
          <w:b/>
          <w:bCs/>
          <w:sz w:val="20"/>
          <w:szCs w:val="20"/>
        </w:rPr>
      </w:pPr>
      <w:r w:rsidRPr="00D411BC">
        <w:rPr>
          <w:rFonts w:ascii="Tahoma" w:hAnsi="Tahoma" w:cs="Tahoma"/>
          <w:sz w:val="20"/>
          <w:szCs w:val="20"/>
        </w:rPr>
        <w:t>Carta Nº 396-UAIHyS-OA-RAMD-ESSALUD-2010 de fecha 05 de agosto de 2010, al Jefe de Adquisiciones e Ingeniería Hospitalaria le indicó al Contratista que venía incumpliendo con las obligaciones señaladas en el contrato.</w:t>
      </w:r>
      <w:r w:rsidRPr="00D411BC">
        <w:rPr>
          <w:rFonts w:ascii="Tahoma" w:hAnsi="Tahoma" w:cs="Tahoma"/>
          <w:b/>
          <w:bCs/>
          <w:sz w:val="20"/>
          <w:szCs w:val="20"/>
        </w:rPr>
        <w:t xml:space="preserve"> </w:t>
      </w:r>
      <w:r w:rsidRPr="00D411BC">
        <w:rPr>
          <w:rFonts w:ascii="Tahoma" w:hAnsi="Tahoma" w:cs="Tahoma"/>
          <w:sz w:val="20"/>
          <w:szCs w:val="20"/>
        </w:rPr>
        <w:t>Dicho requerimiento se basó en el Informe Nº Informe Nº 015-MTTO-UAIHyS-OA-ESSALUD-2010 de fecha 03 de agosto de 2010.</w:t>
      </w:r>
    </w:p>
    <w:p w:rsidR="00D411BC" w:rsidRPr="00D411BC" w:rsidRDefault="00D411BC" w:rsidP="00AF680E">
      <w:pPr>
        <w:spacing w:after="0" w:line="240" w:lineRule="auto"/>
        <w:ind w:left="1440"/>
        <w:jc w:val="both"/>
        <w:rPr>
          <w:rFonts w:ascii="Tahoma" w:hAnsi="Tahoma" w:cs="Tahoma"/>
          <w:b/>
          <w:bCs/>
          <w:sz w:val="20"/>
          <w:szCs w:val="20"/>
        </w:rPr>
      </w:pPr>
    </w:p>
    <w:p w:rsidR="00D411BC" w:rsidRPr="00D411BC" w:rsidRDefault="00D411BC" w:rsidP="00AF680E">
      <w:pPr>
        <w:pStyle w:val="Prrafodelista"/>
        <w:widowControl/>
        <w:numPr>
          <w:ilvl w:val="0"/>
          <w:numId w:val="8"/>
        </w:numPr>
        <w:suppressAutoHyphens w:val="0"/>
        <w:jc w:val="both"/>
        <w:rPr>
          <w:rFonts w:ascii="Tahoma" w:hAnsi="Tahoma" w:cs="Tahoma"/>
          <w:b/>
          <w:bCs/>
          <w:sz w:val="20"/>
        </w:rPr>
      </w:pPr>
      <w:r w:rsidRPr="00D411BC">
        <w:rPr>
          <w:rFonts w:ascii="Tahoma" w:hAnsi="Tahoma" w:cs="Tahoma"/>
          <w:sz w:val="20"/>
        </w:rPr>
        <w:t>Carta Nº 0414-UAIHyS-OA-RAMD-ESSALUD de fecha 13 de agosto de 2010, notificada por conducto notarial el 16 del mismo mes y año, la Entidad le indicó al Contratista que venía incumpliendo sus obligaciones, y por ello se le otorgó 05 días para que subsane las observaciones señaladas.</w:t>
      </w:r>
    </w:p>
    <w:p w:rsidR="00AF680E" w:rsidRDefault="00D411BC" w:rsidP="00AF680E">
      <w:pPr>
        <w:spacing w:after="0" w:line="240" w:lineRule="auto"/>
        <w:ind w:left="1416"/>
        <w:jc w:val="both"/>
        <w:rPr>
          <w:rFonts w:ascii="Tahoma" w:hAnsi="Tahoma" w:cs="Tahoma"/>
          <w:sz w:val="20"/>
          <w:szCs w:val="20"/>
        </w:rPr>
      </w:pPr>
      <w:r w:rsidRPr="00D411BC">
        <w:rPr>
          <w:rFonts w:ascii="Tahoma" w:hAnsi="Tahoma" w:cs="Tahoma"/>
          <w:sz w:val="20"/>
          <w:szCs w:val="20"/>
        </w:rPr>
        <w:lastRenderedPageBreak/>
        <w:t xml:space="preserve">Dicho requerimiento se basó en el Informe Nº </w:t>
      </w:r>
      <w:r w:rsidR="00AF680E">
        <w:rPr>
          <w:rFonts w:ascii="Tahoma" w:hAnsi="Tahoma" w:cs="Tahoma"/>
          <w:sz w:val="20"/>
          <w:szCs w:val="20"/>
        </w:rPr>
        <w:t>018-MTTO-UAIHyS-OA-ESSALUD-2010.</w:t>
      </w:r>
    </w:p>
    <w:p w:rsidR="00D411BC" w:rsidRPr="00AF680E" w:rsidRDefault="00D411BC" w:rsidP="00AF680E">
      <w:pPr>
        <w:pStyle w:val="Prrafodelista"/>
        <w:numPr>
          <w:ilvl w:val="0"/>
          <w:numId w:val="18"/>
        </w:numPr>
        <w:ind w:left="1418" w:hanging="284"/>
        <w:jc w:val="both"/>
        <w:rPr>
          <w:rFonts w:ascii="Tahoma" w:hAnsi="Tahoma" w:cs="Tahoma"/>
          <w:sz w:val="20"/>
        </w:rPr>
      </w:pPr>
      <w:r w:rsidRPr="00AF680E">
        <w:rPr>
          <w:rFonts w:ascii="Tahoma" w:hAnsi="Tahoma" w:cs="Tahoma"/>
          <w:sz w:val="20"/>
        </w:rPr>
        <w:t>Habiéndose vencido el plazo sin que el Contratista cumpla con sus obligaciones, con Nº 0473-UAIHyS-OA-RAMD-ESSALUD de fecha 13 de setiembre de 2010, notificada por conducto notarial el 16 del mismo mes y año, la Entidad le comunicó al Contratista la Resolución de Jefatural Nº 119-OA-DR-RAMD-ESSALUD-2010, con la cual se dispuso resolver el Contrato Marco Nº 460003551.</w:t>
      </w:r>
    </w:p>
    <w:p w:rsidR="00D411BC" w:rsidRPr="00D411BC" w:rsidRDefault="00D411BC" w:rsidP="00AF680E">
      <w:pPr>
        <w:spacing w:after="0" w:line="240" w:lineRule="auto"/>
        <w:ind w:left="1080"/>
        <w:jc w:val="both"/>
        <w:rPr>
          <w:rFonts w:ascii="Tahoma" w:hAnsi="Tahoma" w:cs="Tahoma"/>
          <w:b/>
          <w:bCs/>
          <w:sz w:val="20"/>
          <w:szCs w:val="20"/>
        </w:rPr>
      </w:pPr>
      <w:r w:rsidRPr="00D411BC">
        <w:rPr>
          <w:rFonts w:ascii="Tahoma" w:hAnsi="Tahoma" w:cs="Tahoma"/>
          <w:b/>
          <w:bCs/>
          <w:sz w:val="20"/>
          <w:szCs w:val="20"/>
        </w:rPr>
        <w:t xml:space="preserve">   </w:t>
      </w: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   En tal sentido, se verifica que la Entidad ha observado la formalidad establecida en el artículo 168º y 169º del Reglamento, requisito indispensable de verificación del cumplimiento del debido procedimiento de resolución de contrato, a fin que la acción del Contratista al haber incumplido sus obligaciones contractuales - que dieron lugar a la resolución de contrato por causa atribuible a su parte - sea típica.</w:t>
      </w:r>
    </w:p>
    <w:p w:rsidR="00D411BC" w:rsidRPr="00D411BC" w:rsidRDefault="00D411BC" w:rsidP="00AF680E">
      <w:pPr>
        <w:spacing w:after="0" w:line="240" w:lineRule="auto"/>
        <w:ind w:left="256"/>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  Al respecto, es importante indicar</w:t>
      </w:r>
      <w:r w:rsidRPr="00D411BC">
        <w:rPr>
          <w:rFonts w:ascii="Tahoma" w:hAnsi="Tahoma" w:cs="Tahoma"/>
          <w:sz w:val="20"/>
          <w:szCs w:val="20"/>
          <w:lang w:val="es-ES_tradnl"/>
        </w:rPr>
        <w:t xml:space="preserve"> que, las controversias que surjan entre las partes sobre la ejecución, interpretación, resolución, inexistencia, ineficacia o invalidez del contrato se resolverán mediante conciliación y/o arbitraje, según el acuerdo de las partes, siendo que cualquiera de ellas tiene el derecho de solicitar su inicio. </w:t>
      </w:r>
    </w:p>
    <w:p w:rsidR="00D411BC" w:rsidRPr="00D411BC" w:rsidRDefault="00D411BC" w:rsidP="00AF680E">
      <w:pPr>
        <w:pStyle w:val="Prrafodelista"/>
        <w:rPr>
          <w:rFonts w:ascii="Tahoma" w:hAnsi="Tahoma" w:cs="Tahoma"/>
          <w:sz w:val="20"/>
        </w:rPr>
      </w:pPr>
    </w:p>
    <w:p w:rsidR="00D411BC" w:rsidRPr="00D411BC" w:rsidRDefault="00D411BC" w:rsidP="00AF680E">
      <w:pPr>
        <w:tabs>
          <w:tab w:val="num" w:pos="720"/>
        </w:tabs>
        <w:spacing w:after="0" w:line="240" w:lineRule="auto"/>
        <w:ind w:left="720"/>
        <w:jc w:val="both"/>
        <w:rPr>
          <w:rFonts w:ascii="Tahoma" w:hAnsi="Tahoma" w:cs="Tahoma"/>
          <w:sz w:val="20"/>
          <w:szCs w:val="20"/>
        </w:rPr>
      </w:pPr>
      <w:r w:rsidRPr="00D411BC">
        <w:rPr>
          <w:rFonts w:ascii="Tahoma" w:hAnsi="Tahoma" w:cs="Tahoma"/>
          <w:sz w:val="20"/>
          <w:szCs w:val="20"/>
          <w:lang w:val="es-ES_tradnl"/>
        </w:rPr>
        <w:t>Por tanto, siendo que el Contratista no ha indicado que haya cuestionado la resolución del contrato dentro de los plazos legales establecidos para ello, a pesar de haber sido supuestamente afectado por la decisión de la Entidad, debe entenderse que consintió dicha actuación al no haberla discutido en las instancias correspondientes, no constituyendo obligación de la Entidad recurrir a tales mecanismos de manera previa a la resolución del vínculo contractual.</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lang w:val="es-PE"/>
        </w:rPr>
        <w:t>En ese orden de ideas, corresponde determinar si el Contratista, obligado a cumplir cabalmente con lo ofrecido en su propuesta y en cualquier manifestación formal documentada que haya aportado en el curso del proceso de selección, según lo dispuesto en la Ley de Contrataciones del Estado</w:t>
      </w:r>
      <w:r w:rsidRPr="00D411BC">
        <w:rPr>
          <w:rStyle w:val="Refdenotaalpie"/>
          <w:rFonts w:ascii="Tahoma" w:hAnsi="Tahoma" w:cs="Tahoma"/>
          <w:sz w:val="20"/>
          <w:szCs w:val="20"/>
          <w:lang w:val="es-PE"/>
        </w:rPr>
        <w:t>,</w:t>
      </w:r>
      <w:r w:rsidRPr="00D411BC">
        <w:rPr>
          <w:rFonts w:ascii="Tahoma" w:hAnsi="Tahoma" w:cs="Tahoma"/>
          <w:sz w:val="20"/>
          <w:szCs w:val="20"/>
        </w:rPr>
        <w:t>,</w:t>
      </w:r>
      <w:r w:rsidRPr="00D411BC">
        <w:rPr>
          <w:rFonts w:ascii="Tahoma" w:hAnsi="Tahoma" w:cs="Tahoma"/>
          <w:sz w:val="20"/>
          <w:szCs w:val="20"/>
          <w:lang w:val="es-PE"/>
        </w:rPr>
        <w:t xml:space="preserve"> es responsable de la resolución de las referidas órdenes de compra, por el incumplimiento injustificado de sus obligaciones contractuales, ya que </w:t>
      </w:r>
      <w:r w:rsidRPr="00D411BC">
        <w:rPr>
          <w:rFonts w:ascii="Tahoma" w:hAnsi="Tahoma" w:cs="Tahoma"/>
          <w:sz w:val="20"/>
          <w:szCs w:val="20"/>
        </w:rPr>
        <w:t>en el supuesto de haberse producido por razones de fuerza mayor o caso fortuito, estaremos ante causas justificantes de la inejecución de obligaciones a su cargo.</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Sobre el particular, es necesario indicar que en los casos de incumplimiento de obligaciones, existe la presunción legal establecida en el artículo 1329º del Código Civil, según el cual se entiende que el incumplimiento es producto de la falta de diligencia del deudor. Esto genera en la persona del deudor el deber de demostrar lo contrario y acreditar que, pese a haber actuado con la diligencia ordinaria exigida por la naturaleza de la prestación, le resultó imposible cumplirla.</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En este punto, es preciso analizar que la denuncia realizada por la Entidad supone la responsabilidad del contratista por haber dado lugar a la resolución del Contrato Marco Nº 4600035551.</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Dicho contrato tenía como finalidad que se brinde el servicio de mantenimiento preventivo y correctivo del equipo electromecánico de la Red Asistencial Madre Dios, </w:t>
      </w:r>
      <w:r w:rsidRPr="00D411BC">
        <w:rPr>
          <w:rFonts w:ascii="Tahoma" w:hAnsi="Tahoma" w:cs="Tahoma"/>
          <w:sz w:val="20"/>
          <w:szCs w:val="20"/>
        </w:rPr>
        <w:lastRenderedPageBreak/>
        <w:t>función que desarrollaría el personal del contratista asignado a la Red antes indicada. El servicio implicaba las siguientes funciones:</w:t>
      </w:r>
    </w:p>
    <w:p w:rsidR="00D411BC" w:rsidRPr="00D411BC" w:rsidRDefault="00D411BC" w:rsidP="00AF680E">
      <w:pPr>
        <w:pStyle w:val="Prrafodelista"/>
        <w:rPr>
          <w:rFonts w:ascii="Tahoma" w:hAnsi="Tahoma" w:cs="Tahoma"/>
          <w:sz w:val="20"/>
        </w:rPr>
      </w:pP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Inspecciones o revisiones globales y específicas de los equipos.</w:t>
      </w: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Ajustes eléctricos, electrónicos y/o mecánicos.</w:t>
      </w: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Limpieza, lubricación, engrase y pintado.</w:t>
      </w: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Pruebas de funcionamiento, incluyendo verificación, calibración y regulación de parámetros de funcionamiento con instrumentos adecuados para tal fin.</w:t>
      </w: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Cambio de partes, piezas y/o accesorios.</w:t>
      </w:r>
    </w:p>
    <w:p w:rsidR="00D411BC" w:rsidRPr="00D411BC" w:rsidRDefault="00D411BC" w:rsidP="00AF680E">
      <w:pPr>
        <w:widowControl w:val="0"/>
        <w:numPr>
          <w:ilvl w:val="0"/>
          <w:numId w:val="15"/>
        </w:numPr>
        <w:tabs>
          <w:tab w:val="left" w:pos="1211"/>
        </w:tabs>
        <w:spacing w:after="0" w:line="240" w:lineRule="auto"/>
        <w:jc w:val="both"/>
        <w:rPr>
          <w:rFonts w:ascii="Tahoma" w:hAnsi="Tahoma" w:cs="Tahoma"/>
          <w:sz w:val="20"/>
          <w:szCs w:val="20"/>
        </w:rPr>
      </w:pPr>
      <w:r w:rsidRPr="00D411BC">
        <w:rPr>
          <w:rFonts w:ascii="Tahoma" w:hAnsi="Tahoma" w:cs="Tahoma"/>
          <w:sz w:val="20"/>
          <w:szCs w:val="20"/>
        </w:rPr>
        <w:t>Otras que demande el mantenimiento.</w:t>
      </w:r>
    </w:p>
    <w:p w:rsidR="00D411BC" w:rsidRPr="00D411BC" w:rsidRDefault="00D411BC" w:rsidP="00AF680E">
      <w:pPr>
        <w:widowControl w:val="0"/>
        <w:spacing w:after="0" w:line="240" w:lineRule="auto"/>
        <w:jc w:val="both"/>
        <w:rPr>
          <w:rFonts w:ascii="Tahoma" w:hAnsi="Tahoma" w:cs="Tahoma"/>
          <w:sz w:val="20"/>
          <w:szCs w:val="20"/>
        </w:rPr>
      </w:pPr>
    </w:p>
    <w:p w:rsidR="00D411BC" w:rsidRPr="00D411BC" w:rsidRDefault="00D411BC" w:rsidP="00AF680E">
      <w:pPr>
        <w:tabs>
          <w:tab w:val="num" w:pos="1440"/>
        </w:tabs>
        <w:spacing w:after="0" w:line="240" w:lineRule="auto"/>
        <w:ind w:left="720"/>
        <w:jc w:val="both"/>
        <w:rPr>
          <w:rFonts w:ascii="Tahoma" w:hAnsi="Tahoma" w:cs="Tahoma"/>
          <w:sz w:val="20"/>
          <w:szCs w:val="20"/>
        </w:rPr>
      </w:pPr>
      <w:r w:rsidRPr="00D411BC">
        <w:rPr>
          <w:rFonts w:ascii="Tahoma" w:hAnsi="Tahoma" w:cs="Tahoma"/>
          <w:sz w:val="20"/>
          <w:szCs w:val="20"/>
        </w:rPr>
        <w:t>Era responsabilidad del Contratista, el correcto funcionamiento de los equipos bajo su cobertura durante la vigencia del contrato. Las fallas que presenten los equipos serán de responsabilidad del Contratista y serán asumidas por éste, salvo que demuestre que han sido ocasionadas por el usuario o no se le ha suministrado los repuestos a tiempo.</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tabs>
          <w:tab w:val="num" w:pos="720"/>
        </w:tabs>
        <w:spacing w:after="0" w:line="240" w:lineRule="auto"/>
        <w:ind w:left="720"/>
        <w:jc w:val="both"/>
        <w:rPr>
          <w:rFonts w:ascii="Tahoma" w:hAnsi="Tahoma" w:cs="Tahoma"/>
          <w:sz w:val="20"/>
          <w:szCs w:val="20"/>
        </w:rPr>
      </w:pPr>
      <w:r w:rsidRPr="00D411BC">
        <w:rPr>
          <w:rFonts w:ascii="Tahoma" w:hAnsi="Tahoma" w:cs="Tahoma"/>
          <w:sz w:val="20"/>
          <w:szCs w:val="20"/>
        </w:rPr>
        <w:t>Para el cumplimiento de dichas actividades, se requería que el contratista cuente con un mecánico o electricista, con experiencia en mantenimiento de equipos de la Especialidad.</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tabs>
          <w:tab w:val="num" w:pos="720"/>
        </w:tabs>
        <w:spacing w:after="0" w:line="240" w:lineRule="auto"/>
        <w:ind w:left="720"/>
        <w:jc w:val="both"/>
        <w:rPr>
          <w:rFonts w:ascii="Tahoma" w:hAnsi="Tahoma" w:cs="Tahoma"/>
          <w:sz w:val="20"/>
          <w:szCs w:val="20"/>
        </w:rPr>
      </w:pPr>
      <w:r w:rsidRPr="00D411BC">
        <w:rPr>
          <w:rFonts w:ascii="Tahoma" w:hAnsi="Tahoma" w:cs="Tahoma"/>
          <w:sz w:val="20"/>
          <w:szCs w:val="20"/>
        </w:rPr>
        <w:t>El servicio se realizaría por el periodo de un año, desde el 18 de abril de 2010 hasta el 17 de abril de 2011.</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De la revisión a las cartas de requerimiento de obligaciones, y a los documentos obrantes en autos, se puede evidenciar que el cumplimiento del servicio empezó a presentar observaciones desde el mes de junio de 2010, puesto que según el Informe Nº 015-MTTO-UAIHyS-OA-ESSALUD-2010 de fecha 03 de agosto de 2010, se cuestionó los siguientes hechos:</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pStyle w:val="Prrafodelista"/>
        <w:widowControl/>
        <w:numPr>
          <w:ilvl w:val="0"/>
          <w:numId w:val="16"/>
        </w:numPr>
        <w:suppressAutoHyphens w:val="0"/>
        <w:jc w:val="both"/>
        <w:rPr>
          <w:rFonts w:ascii="Tahoma" w:hAnsi="Tahoma" w:cs="Tahoma"/>
          <w:sz w:val="20"/>
        </w:rPr>
      </w:pPr>
      <w:r w:rsidRPr="00D411BC">
        <w:rPr>
          <w:rFonts w:ascii="Tahoma" w:hAnsi="Tahoma" w:cs="Tahoma"/>
          <w:sz w:val="20"/>
        </w:rPr>
        <w:t>No se ha cumplido con la entrega del informe mensual de actividades y la rendición de gastos de su capital de trabajo correspondiente a los meses de junio y julio.</w:t>
      </w:r>
    </w:p>
    <w:p w:rsidR="00D411BC" w:rsidRPr="00D411BC" w:rsidRDefault="00D411BC" w:rsidP="00AF680E">
      <w:pPr>
        <w:pStyle w:val="Prrafodelista"/>
        <w:widowControl/>
        <w:numPr>
          <w:ilvl w:val="0"/>
          <w:numId w:val="16"/>
        </w:numPr>
        <w:suppressAutoHyphens w:val="0"/>
        <w:jc w:val="both"/>
        <w:rPr>
          <w:rFonts w:ascii="Tahoma" w:hAnsi="Tahoma" w:cs="Tahoma"/>
          <w:sz w:val="20"/>
        </w:rPr>
      </w:pPr>
      <w:r w:rsidRPr="00D411BC">
        <w:rPr>
          <w:rFonts w:ascii="Tahoma" w:hAnsi="Tahoma" w:cs="Tahoma"/>
          <w:sz w:val="20"/>
        </w:rPr>
        <w:t>Durante el mes de julio el técnico residente sólo ha laborado hasta el 26 de julio de 2010, existiendo 3 días no laborados, tiempo que puso en riesgo el funcionamiento de la planta de tratamiento de aguas servidas, ya que las electrobombas de impulsión presentaron fallas y se tuvo que intervenir con personal de la Entidad para solucionar el problema.</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A pesar del requerimiento para que el contratista subsane dichas observaciones, las deficiencias continuaron, tan es así que con Informe Nº 018-MTTO-UAIHyS-OA-ESSALUD-2010 de fecha 11 de agosto de 2010, el Técnico de Mantenimiento de la Red Asistencial Madre de Dios, indicó al jefe de adquisiciones e Ingeniería Hospitalaria que no se habían subsanado las observaciones que fueron reportadas, manteniéndose a la fecha el incumplimiento por parte del contratista, asimismo, se indicó que el técnico residente solo ha laborado los días 6 y 7, acumulándose hasta dicha fecha 07 días de inasistencia injustificada. El incumplimiento del servicio se sustenta en los siguientes hechos:</w:t>
      </w:r>
    </w:p>
    <w:p w:rsidR="00D411BC" w:rsidRPr="00D411BC" w:rsidRDefault="00D411BC" w:rsidP="00AF680E">
      <w:pPr>
        <w:pStyle w:val="Prrafodelista"/>
        <w:rPr>
          <w:rFonts w:ascii="Tahoma" w:hAnsi="Tahoma" w:cs="Tahoma"/>
          <w:sz w:val="20"/>
        </w:rPr>
      </w:pP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lastRenderedPageBreak/>
        <w:t>Incumplimiento en entrega del informe mensual de actividades y  la rendición de gastos de su capital de trabajo correspondientes a junio y julio del presente año.</w:t>
      </w: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t>Inasistencia injustificada del técnico residente, poniendo en riesgo el normal funcionamiento del equipamiento electromecánico.</w:t>
      </w: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t>Interrupción del normal funcionamiento de equipos por razones atribuibles al contratista.</w:t>
      </w: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t>Retraso injustificado en la ejecución del programa de mantenimiento preventivo del equipo electromecánico.</w:t>
      </w: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t>Falta del programa de mantenimiento preventivo, actualmente se viene trabajando  con referencia al programa de la empresa residente anterior.</w:t>
      </w:r>
    </w:p>
    <w:p w:rsidR="00D411BC" w:rsidRPr="00D411BC" w:rsidRDefault="00D411BC" w:rsidP="00AF680E">
      <w:pPr>
        <w:pStyle w:val="Prrafodelista"/>
        <w:widowControl/>
        <w:numPr>
          <w:ilvl w:val="0"/>
          <w:numId w:val="17"/>
        </w:numPr>
        <w:suppressAutoHyphens w:val="0"/>
        <w:jc w:val="both"/>
        <w:rPr>
          <w:rFonts w:ascii="Tahoma" w:hAnsi="Tahoma" w:cs="Tahoma"/>
          <w:sz w:val="20"/>
        </w:rPr>
      </w:pPr>
      <w:r w:rsidRPr="00D411BC">
        <w:rPr>
          <w:rFonts w:ascii="Tahoma" w:hAnsi="Tahoma" w:cs="Tahoma"/>
          <w:sz w:val="20"/>
        </w:rPr>
        <w:t>Falta de medios físicos para el desarrollo de las actividades de mantenimiento, no se cuenta con documentación que sustente el ingreso de dichos medios al hospital.</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tabs>
          <w:tab w:val="num" w:pos="720"/>
        </w:tabs>
        <w:spacing w:after="0" w:line="240" w:lineRule="auto"/>
        <w:ind w:left="720"/>
        <w:jc w:val="both"/>
        <w:rPr>
          <w:rFonts w:ascii="Tahoma" w:hAnsi="Tahoma" w:cs="Tahoma"/>
          <w:sz w:val="20"/>
          <w:szCs w:val="20"/>
        </w:rPr>
      </w:pPr>
      <w:r w:rsidRPr="00D411BC">
        <w:rPr>
          <w:rFonts w:ascii="Tahoma" w:hAnsi="Tahoma" w:cs="Tahoma"/>
          <w:sz w:val="20"/>
          <w:szCs w:val="20"/>
        </w:rPr>
        <w:t>Según el Informe Nº 020-MTTO-UAIHyS-OA-ESSALUD-2010 de fecha 25 de agosto de 2010, dichas observaciones no fueron subsanadas por el Contratista.</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Ante los requerimiento realizados, con Carta Nº AEBCO/GG/083/2010 de fecha 26 de agosto de 2010, el Contratista no cuestionó las imputaciones en su contra, sino que por el contrario, indicó a la Entidad que debido a problemas con el personal técnico destacado a la RAMD no se podía continuar con el servicio contratado, por lo que se procedió a suspender el servicio, y se precisó que las labores se realizarían sólo hasta el 31 de agosto de dicho año.</w:t>
      </w:r>
    </w:p>
    <w:p w:rsidR="00D411BC" w:rsidRPr="00D411BC" w:rsidRDefault="00D411BC" w:rsidP="00AF680E">
      <w:pPr>
        <w:spacing w:after="0" w:line="240" w:lineRule="auto"/>
        <w:ind w:left="720"/>
        <w:jc w:val="both"/>
        <w:rPr>
          <w:rFonts w:ascii="Tahoma" w:hAnsi="Tahoma" w:cs="Tahoma"/>
          <w:sz w:val="20"/>
          <w:szCs w:val="20"/>
        </w:rPr>
      </w:pPr>
    </w:p>
    <w:p w:rsidR="00D411BC" w:rsidRPr="00D411BC" w:rsidRDefault="00D411BC" w:rsidP="00AF680E">
      <w:pPr>
        <w:spacing w:after="0" w:line="240" w:lineRule="auto"/>
        <w:ind w:left="720"/>
        <w:jc w:val="both"/>
        <w:rPr>
          <w:rFonts w:ascii="Tahoma" w:hAnsi="Tahoma" w:cs="Tahoma"/>
          <w:sz w:val="20"/>
          <w:szCs w:val="20"/>
        </w:rPr>
      </w:pPr>
      <w:r w:rsidRPr="00D411BC">
        <w:rPr>
          <w:rFonts w:ascii="Tahoma" w:hAnsi="Tahoma" w:cs="Tahoma"/>
          <w:sz w:val="20"/>
          <w:szCs w:val="20"/>
        </w:rPr>
        <w:t xml:space="preserve">Es decir, con dicha comunicación no sólo acepto el incumplimiento incurrido, sino que además, señalo que no podría seguir brindado el servicio de mantenimiento, poniendo fin de manera unilateral a las prestaciones contratadas. </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Ante tal manifestación de voluntad en la cual se determinó que el contratista no subsanaría su incumplimiento, se dispuso resolver el vínculo contractual con Resolución Jefatural Nº 119-OA-DR-RAMD-ESSALUD-2010, notificada con Carta </w:t>
      </w:r>
      <w:r w:rsidRPr="00D411BC">
        <w:rPr>
          <w:rFonts w:ascii="Tahoma" w:hAnsi="Tahoma" w:cs="Tahoma"/>
          <w:sz w:val="20"/>
          <w:szCs w:val="20"/>
        </w:rPr>
        <w:br/>
        <w:t>Nº 0473-UAIHyS-OA-RAMD-ESSALUD el 16 de agosto de 2010.</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Al presentar sus descargos en esta instancia, el Contratista ha admitido su responsabilidad respecto a los hechos cuestionados, pues señaló que el técnico residente a cargo de realizar el mantenimiento no cumplió sus obligaciones, al no seguir el plan de trabajo, no presentar informes técnicos y adicionalmente, abandonar el cargo injustificadamente, lo que ocasionó un servicio defectuoso que no satisfizo los intereses de la Entidad; y, que si bien es cierto, se intentó reemplazarlo con otro profesional de las mismas cualidades, esto  no se pudo lograr en el plazo de 72 horas. </w:t>
      </w:r>
    </w:p>
    <w:p w:rsidR="00D411BC" w:rsidRPr="00D411BC" w:rsidRDefault="00D411BC" w:rsidP="00AF680E">
      <w:pPr>
        <w:pStyle w:val="Prrafodelista"/>
        <w:rPr>
          <w:rFonts w:ascii="Tahoma" w:hAnsi="Tahoma" w:cs="Tahoma"/>
          <w:sz w:val="20"/>
        </w:rPr>
      </w:pPr>
    </w:p>
    <w:p w:rsidR="00D411BC" w:rsidRPr="00D411BC" w:rsidRDefault="00D411BC" w:rsidP="00AF680E">
      <w:pPr>
        <w:tabs>
          <w:tab w:val="num" w:pos="720"/>
        </w:tabs>
        <w:spacing w:after="0" w:line="240" w:lineRule="auto"/>
        <w:ind w:left="720"/>
        <w:jc w:val="both"/>
        <w:rPr>
          <w:rFonts w:ascii="Tahoma" w:hAnsi="Tahoma" w:cs="Tahoma"/>
          <w:sz w:val="20"/>
          <w:szCs w:val="20"/>
        </w:rPr>
      </w:pPr>
      <w:r w:rsidRPr="00D411BC">
        <w:rPr>
          <w:rFonts w:ascii="Tahoma" w:hAnsi="Tahoma" w:cs="Tahoma"/>
          <w:sz w:val="20"/>
          <w:szCs w:val="20"/>
        </w:rPr>
        <w:t>En virtud a ello, el Contratista ha solicitado a este Colegiado ser indulgentes al momento de aplicar la sanción correspondiente.</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Por las consideraciones expuestas</w:t>
      </w:r>
      <w:r w:rsidRPr="00D411BC">
        <w:rPr>
          <w:rFonts w:ascii="Tahoma" w:hAnsi="Tahoma" w:cs="Tahoma"/>
          <w:sz w:val="20"/>
          <w:szCs w:val="20"/>
          <w:lang w:val="es-ES_tradnl"/>
        </w:rPr>
        <w:t xml:space="preserve">, se evidencia que el contratista no cumplió con sus obligaciones correspondientes a los meses de junio de 2010 a abril del 2011, a pesar de ser requerido para tales fines, y, atendiendo que no obra en autos medio probatorio alguno, relacionado con un caso fortuito o un hecho de fuerza mayor, </w:t>
      </w:r>
      <w:r w:rsidRPr="00D411BC">
        <w:rPr>
          <w:rFonts w:ascii="Tahoma" w:hAnsi="Tahoma" w:cs="Tahoma"/>
          <w:sz w:val="20"/>
          <w:szCs w:val="20"/>
          <w:lang w:val="es-ES_tradnl"/>
        </w:rPr>
        <w:lastRenderedPageBreak/>
        <w:t>que justifique la omisión de su cumplimiento, corresponde imponerle sanción administrativa.</w:t>
      </w:r>
    </w:p>
    <w:p w:rsidR="00D411BC" w:rsidRPr="00D411BC" w:rsidRDefault="00D411BC" w:rsidP="00AF680E">
      <w:pPr>
        <w:tabs>
          <w:tab w:val="num" w:pos="720"/>
        </w:tabs>
        <w:spacing w:after="0" w:line="240" w:lineRule="auto"/>
        <w:ind w:left="720"/>
        <w:jc w:val="both"/>
        <w:rPr>
          <w:rFonts w:ascii="Tahoma" w:hAnsi="Tahoma" w:cs="Tahoma"/>
          <w:sz w:val="20"/>
          <w:szCs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lang w:val="es-ES_tradnl"/>
        </w:rPr>
        <w:t xml:space="preserve">En relación a la graduación de la sanción imponible, el artículo 237º del Reglamento establece que los postores que den lugar a la resolución del contrato serán sancionados con inhabilitación temporal para contratar con el Estado por un periodo no menor de uno (1) año ni mayor de tres (03) años, </w:t>
      </w:r>
      <w:r w:rsidRPr="00D411BC">
        <w:rPr>
          <w:rFonts w:ascii="Tahoma" w:hAnsi="Tahoma" w:cs="Tahoma"/>
          <w:sz w:val="20"/>
          <w:szCs w:val="20"/>
          <w:lang w:val="es-MX"/>
        </w:rPr>
        <w:t xml:space="preserve">conforme a los criterios </w:t>
      </w:r>
      <w:r w:rsidRPr="00D411BC">
        <w:rPr>
          <w:rFonts w:ascii="Tahoma" w:hAnsi="Tahoma" w:cs="Tahoma"/>
          <w:sz w:val="20"/>
          <w:szCs w:val="20"/>
          <w:lang w:val="es-ES_tradnl"/>
        </w:rPr>
        <w:t>para la determinación gradual de la sanción previstos en el artículo 245º del Reglamento.</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Asimismo, debe tenerse en cuenta que de acuerdo al </w:t>
      </w:r>
      <w:r w:rsidRPr="00D411BC">
        <w:rPr>
          <w:rFonts w:ascii="Tahoma" w:hAnsi="Tahoma" w:cs="Tahoma"/>
          <w:i/>
          <w:iCs/>
          <w:sz w:val="20"/>
          <w:szCs w:val="20"/>
        </w:rPr>
        <w:t>Principio de Razonabilidad</w:t>
      </w:r>
      <w:r w:rsidRPr="00D411BC">
        <w:rPr>
          <w:rFonts w:ascii="Tahoma" w:hAnsi="Tahoma" w:cs="Tahoma"/>
          <w:sz w:val="20"/>
          <w:szCs w:val="20"/>
        </w:rPr>
        <w:t>,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Bajo las premisas anotadas debe considerarse la naturaleza de la infracción que, en este caso, obedece a una cuestión de falta de responsabilidad en el deber del Contratista de honrar las prestaciones a su cargo.</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Adicionalmente, en lo que atañe a la conducta procesal del infractor durante la sustanciación del presente procedimiento administrativo sancionador, es necesario tener presente que el Contratista  se ha apersonado a la instancia y  presentado sus descargos oportunamente, aunque no ha reconocido la comisión de la infracción.</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 xml:space="preserve">En el mismo sentido, es necesario que este Tribunal preste atención al daño causado por el infractor.  Así, debe tenerse en cuenta que la conducta irregular del Contratista reviste de una considerable gravedad en la medida en que desde el momento en que se asumió un compromiso contractual frente a la Entidad, aquél se obligó a cumplir cabalmente con lo ofrecido, toda vez que es conocido que ante un eventual incumplimiento se retrasaría el cumplimiento de las metas institucionales de la Entidad en agravio de intereses de carácter público. </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Por otro lado, se debe tener en consideración, la cuantía del presente proceso de selección, por el monto de S/. 70,000.00. Así, como también no puede dejar de valorarse a favor del Contratista la circunstancia atenuante del cumplimiento parcial de la prestación, que carece de antecedentes al no haber sido inhabilitado anteriormente para participar en procesos de selección y contratar con el Estado, y que ha reconocido la infracción.</w:t>
      </w:r>
    </w:p>
    <w:p w:rsidR="00D411BC" w:rsidRPr="00D411BC" w:rsidRDefault="00D411BC" w:rsidP="00AF680E">
      <w:pPr>
        <w:pStyle w:val="Prrafodelista"/>
        <w:rPr>
          <w:rFonts w:ascii="Tahoma" w:hAnsi="Tahoma" w:cs="Tahoma"/>
          <w:sz w:val="20"/>
        </w:rPr>
      </w:pPr>
    </w:p>
    <w:p w:rsidR="00D411BC" w:rsidRPr="00D411BC" w:rsidRDefault="00D411BC" w:rsidP="00AF680E">
      <w:pPr>
        <w:numPr>
          <w:ilvl w:val="0"/>
          <w:numId w:val="9"/>
        </w:numPr>
        <w:tabs>
          <w:tab w:val="clear" w:pos="644"/>
          <w:tab w:val="num" w:pos="540"/>
          <w:tab w:val="num" w:pos="720"/>
        </w:tabs>
        <w:spacing w:after="0" w:line="240" w:lineRule="auto"/>
        <w:ind w:left="720" w:hanging="464"/>
        <w:jc w:val="both"/>
        <w:rPr>
          <w:rFonts w:ascii="Tahoma" w:hAnsi="Tahoma" w:cs="Tahoma"/>
          <w:sz w:val="20"/>
          <w:szCs w:val="20"/>
        </w:rPr>
      </w:pPr>
      <w:r w:rsidRPr="00D411BC">
        <w:rPr>
          <w:rFonts w:ascii="Tahoma" w:hAnsi="Tahoma" w:cs="Tahoma"/>
          <w:sz w:val="20"/>
          <w:szCs w:val="20"/>
        </w:rPr>
        <w:t>Consecuentemente, corresponde en opinión de este Colegiado imponerle la sanción administrativa de inhabilitación temporal en sus derechos para participar en procesos de selección y contratar con el Estado por el período de doce (12) meses.</w:t>
      </w:r>
    </w:p>
    <w:p w:rsidR="00D411BC" w:rsidRPr="00D411BC" w:rsidRDefault="00D411BC" w:rsidP="00AF680E">
      <w:pPr>
        <w:pStyle w:val="Prrafodelista"/>
        <w:rPr>
          <w:rFonts w:ascii="Tahoma" w:hAnsi="Tahoma" w:cs="Tahoma"/>
          <w:sz w:val="20"/>
        </w:rPr>
      </w:pPr>
    </w:p>
    <w:p w:rsidR="00D411BC" w:rsidRPr="00D411BC" w:rsidRDefault="00D411BC" w:rsidP="00AF680E">
      <w:pPr>
        <w:spacing w:after="0" w:line="240" w:lineRule="auto"/>
        <w:ind w:left="-284" w:firstLine="360"/>
        <w:jc w:val="both"/>
        <w:rPr>
          <w:rFonts w:ascii="Tahoma" w:hAnsi="Tahoma" w:cs="Tahoma"/>
          <w:sz w:val="20"/>
          <w:szCs w:val="20"/>
        </w:rPr>
      </w:pPr>
      <w:r w:rsidRPr="00D411BC">
        <w:rPr>
          <w:rFonts w:ascii="Tahoma" w:hAnsi="Tahoma" w:cs="Tahoma"/>
          <w:sz w:val="20"/>
          <w:szCs w:val="20"/>
        </w:rPr>
        <w:lastRenderedPageBreak/>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D411BC" w:rsidRPr="00D411BC" w:rsidRDefault="00D411BC" w:rsidP="00AF680E">
      <w:pPr>
        <w:spacing w:after="0" w:line="240" w:lineRule="auto"/>
        <w:jc w:val="both"/>
        <w:rPr>
          <w:rFonts w:ascii="Tahoma" w:hAnsi="Tahoma" w:cs="Tahoma"/>
          <w:sz w:val="20"/>
          <w:szCs w:val="20"/>
        </w:rPr>
      </w:pPr>
    </w:p>
    <w:p w:rsidR="00D411BC" w:rsidRPr="00D411BC" w:rsidRDefault="00D411BC" w:rsidP="00AF680E">
      <w:pPr>
        <w:spacing w:after="0" w:line="240" w:lineRule="auto"/>
        <w:ind w:right="-315"/>
        <w:jc w:val="both"/>
        <w:rPr>
          <w:rFonts w:ascii="Tahoma" w:hAnsi="Tahoma" w:cs="Tahoma"/>
          <w:b/>
          <w:sz w:val="20"/>
          <w:szCs w:val="20"/>
        </w:rPr>
      </w:pPr>
      <w:r w:rsidRPr="00D411BC">
        <w:rPr>
          <w:rFonts w:ascii="Tahoma" w:hAnsi="Tahoma" w:cs="Tahoma"/>
          <w:b/>
          <w:sz w:val="20"/>
          <w:szCs w:val="20"/>
        </w:rPr>
        <w:t>LA SALA RESUELVE:</w:t>
      </w:r>
    </w:p>
    <w:p w:rsidR="00D411BC" w:rsidRDefault="00D411BC" w:rsidP="00AF680E">
      <w:pPr>
        <w:spacing w:after="0" w:line="240" w:lineRule="auto"/>
        <w:ind w:left="567"/>
        <w:jc w:val="both"/>
        <w:rPr>
          <w:rFonts w:ascii="Tahoma" w:hAnsi="Tahoma" w:cs="Tahoma"/>
          <w:sz w:val="20"/>
          <w:szCs w:val="20"/>
        </w:rPr>
      </w:pPr>
    </w:p>
    <w:p w:rsidR="00D411BC" w:rsidRPr="00D411BC" w:rsidRDefault="00D411BC" w:rsidP="00AF680E">
      <w:pPr>
        <w:numPr>
          <w:ilvl w:val="0"/>
          <w:numId w:val="12"/>
        </w:numPr>
        <w:tabs>
          <w:tab w:val="num" w:pos="567"/>
        </w:tabs>
        <w:spacing w:after="0" w:line="240" w:lineRule="auto"/>
        <w:ind w:left="567" w:hanging="567"/>
        <w:jc w:val="both"/>
        <w:rPr>
          <w:rFonts w:ascii="Tahoma" w:hAnsi="Tahoma" w:cs="Tahoma"/>
          <w:sz w:val="20"/>
          <w:szCs w:val="20"/>
        </w:rPr>
      </w:pPr>
      <w:r w:rsidRPr="00D411BC">
        <w:rPr>
          <w:rFonts w:ascii="Tahoma" w:hAnsi="Tahoma" w:cs="Tahoma"/>
          <w:sz w:val="20"/>
          <w:szCs w:val="20"/>
        </w:rPr>
        <w:t xml:space="preserve">Imponer la empresa AMKEM ELECTRONIC &amp; BIOMEDICAL COMPANY S.A.C. la sanción administrativa de inhabilitación temporal por el periodo de doce (12) meses en sus derechos de participar en procesos de selección y contratar con el Estado, por la comisión de la infracción tipificada en el literal b) del  numeral 51.1 del artículo 51 de la Ley de Contrataciones del Estado, la cual entrará en vigencia a partir del sexto día hábil siguiente de notificada la presente Resolución. </w:t>
      </w:r>
    </w:p>
    <w:p w:rsidR="00D411BC" w:rsidRDefault="00D411BC" w:rsidP="00AF680E">
      <w:pPr>
        <w:spacing w:after="0" w:line="240" w:lineRule="auto"/>
        <w:ind w:left="567"/>
        <w:jc w:val="both"/>
        <w:rPr>
          <w:rFonts w:ascii="Tahoma" w:hAnsi="Tahoma" w:cs="Tahoma"/>
          <w:sz w:val="20"/>
          <w:szCs w:val="20"/>
        </w:rPr>
      </w:pPr>
    </w:p>
    <w:p w:rsidR="00D411BC" w:rsidRPr="00D411BC" w:rsidRDefault="00D411BC" w:rsidP="00AF680E">
      <w:pPr>
        <w:numPr>
          <w:ilvl w:val="0"/>
          <w:numId w:val="12"/>
        </w:numPr>
        <w:tabs>
          <w:tab w:val="clear" w:pos="720"/>
          <w:tab w:val="num" w:pos="567"/>
        </w:tabs>
        <w:spacing w:after="0" w:line="240" w:lineRule="auto"/>
        <w:ind w:left="567" w:hanging="567"/>
        <w:jc w:val="both"/>
        <w:rPr>
          <w:rFonts w:ascii="Tahoma" w:hAnsi="Tahoma" w:cs="Tahoma"/>
          <w:sz w:val="20"/>
          <w:szCs w:val="20"/>
        </w:rPr>
      </w:pPr>
      <w:r w:rsidRPr="00D411BC">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D411BC" w:rsidRPr="00D411BC" w:rsidRDefault="00D411BC" w:rsidP="00AF680E">
      <w:pPr>
        <w:pStyle w:val="Prrafodelista"/>
        <w:rPr>
          <w:rFonts w:ascii="Tahoma" w:hAnsi="Tahoma" w:cs="Tahoma"/>
          <w:sz w:val="20"/>
          <w:lang w:val="es-ES"/>
        </w:rPr>
      </w:pPr>
    </w:p>
    <w:p w:rsidR="00D411BC" w:rsidRPr="00D411BC" w:rsidRDefault="00D411BC" w:rsidP="00AF680E">
      <w:pPr>
        <w:numPr>
          <w:ilvl w:val="0"/>
          <w:numId w:val="12"/>
        </w:numPr>
        <w:tabs>
          <w:tab w:val="clear" w:pos="720"/>
          <w:tab w:val="num" w:pos="567"/>
        </w:tabs>
        <w:spacing w:after="0" w:line="240" w:lineRule="auto"/>
        <w:ind w:left="567" w:hanging="567"/>
        <w:jc w:val="both"/>
        <w:rPr>
          <w:rFonts w:ascii="Tahoma" w:hAnsi="Tahoma" w:cs="Tahoma"/>
          <w:sz w:val="20"/>
          <w:szCs w:val="20"/>
        </w:rPr>
      </w:pPr>
      <w:r w:rsidRPr="00D411BC">
        <w:rPr>
          <w:rFonts w:ascii="Tahoma" w:hAnsi="Tahoma" w:cs="Tahoma"/>
          <w:sz w:val="20"/>
          <w:szCs w:val="20"/>
        </w:rPr>
        <w:t>Poner la presente resolución en conocimiento del Órgano de Control institucional de la Entidad</w:t>
      </w:r>
    </w:p>
    <w:p w:rsidR="00D411BC" w:rsidRPr="00D411BC" w:rsidRDefault="00D411BC" w:rsidP="00AF680E">
      <w:pPr>
        <w:tabs>
          <w:tab w:val="num" w:pos="720"/>
        </w:tabs>
        <w:spacing w:after="0" w:line="240" w:lineRule="auto"/>
        <w:rPr>
          <w:rFonts w:ascii="Tahoma" w:hAnsi="Tahoma" w:cs="Tahoma"/>
          <w:sz w:val="20"/>
          <w:szCs w:val="20"/>
        </w:rPr>
      </w:pPr>
    </w:p>
    <w:p w:rsidR="00D411BC" w:rsidRPr="00D411BC" w:rsidRDefault="00D411BC" w:rsidP="00AF680E">
      <w:pPr>
        <w:pStyle w:val="Ttulo3"/>
        <w:spacing w:before="0" w:after="0" w:line="240" w:lineRule="auto"/>
        <w:jc w:val="both"/>
        <w:rPr>
          <w:rFonts w:ascii="Tahoma" w:hAnsi="Tahoma" w:cs="Tahoma"/>
          <w:b w:val="0"/>
          <w:bCs w:val="0"/>
          <w:sz w:val="20"/>
          <w:szCs w:val="20"/>
        </w:rPr>
      </w:pPr>
      <w:r w:rsidRPr="00D411BC">
        <w:rPr>
          <w:rFonts w:ascii="Tahoma" w:hAnsi="Tahoma" w:cs="Tahoma"/>
          <w:b w:val="0"/>
          <w:sz w:val="20"/>
          <w:szCs w:val="20"/>
        </w:rPr>
        <w:t>Regístrese, comuníquese y publíquese.</w:t>
      </w: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ind w:left="2832" w:firstLine="708"/>
        <w:jc w:val="both"/>
        <w:rPr>
          <w:rFonts w:ascii="Tahoma" w:hAnsi="Tahoma" w:cs="Tahoma"/>
          <w:b/>
          <w:shadow/>
          <w:sz w:val="20"/>
          <w:szCs w:val="20"/>
        </w:rPr>
      </w:pPr>
      <w:r w:rsidRPr="00D411BC">
        <w:rPr>
          <w:rFonts w:ascii="Tahoma" w:hAnsi="Tahoma" w:cs="Tahoma"/>
          <w:b/>
          <w:shadow/>
          <w:sz w:val="20"/>
          <w:szCs w:val="20"/>
        </w:rPr>
        <w:t>PRESIDENTE</w:t>
      </w: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b/>
          <w:shadow/>
          <w:sz w:val="20"/>
          <w:szCs w:val="20"/>
        </w:rPr>
      </w:pPr>
    </w:p>
    <w:p w:rsidR="00D411BC" w:rsidRPr="00D411BC" w:rsidRDefault="00D411BC" w:rsidP="00AF680E">
      <w:pPr>
        <w:spacing w:after="0" w:line="240" w:lineRule="auto"/>
        <w:jc w:val="both"/>
        <w:rPr>
          <w:rFonts w:ascii="Tahoma" w:hAnsi="Tahoma" w:cs="Tahoma"/>
          <w:shadow/>
          <w:sz w:val="20"/>
          <w:szCs w:val="20"/>
        </w:rPr>
      </w:pPr>
      <w:r w:rsidRPr="00D411BC">
        <w:rPr>
          <w:rFonts w:ascii="Tahoma" w:hAnsi="Tahoma" w:cs="Tahoma"/>
          <w:b/>
          <w:shadow/>
          <w:sz w:val="20"/>
          <w:szCs w:val="20"/>
        </w:rPr>
        <w:t xml:space="preserve">                   VOCAL</w:t>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r>
      <w:r w:rsidRPr="00D411BC">
        <w:rPr>
          <w:rFonts w:ascii="Tahoma" w:hAnsi="Tahoma" w:cs="Tahoma"/>
          <w:b/>
          <w:shadow/>
          <w:sz w:val="20"/>
          <w:szCs w:val="20"/>
        </w:rPr>
        <w:tab/>
        <w:t xml:space="preserve">VOCAL                                                                 </w:t>
      </w:r>
    </w:p>
    <w:p w:rsidR="00D411BC" w:rsidRPr="00D411BC" w:rsidRDefault="00D411BC" w:rsidP="00AF680E">
      <w:pPr>
        <w:spacing w:after="0" w:line="240" w:lineRule="auto"/>
        <w:jc w:val="both"/>
        <w:rPr>
          <w:rFonts w:ascii="Tahoma" w:hAnsi="Tahoma" w:cs="Tahoma"/>
          <w:sz w:val="20"/>
          <w:szCs w:val="20"/>
        </w:rPr>
      </w:pPr>
    </w:p>
    <w:p w:rsidR="00D411BC" w:rsidRPr="00D411BC" w:rsidRDefault="00D411BC" w:rsidP="00AF680E">
      <w:pPr>
        <w:spacing w:after="0" w:line="240" w:lineRule="auto"/>
        <w:jc w:val="both"/>
        <w:rPr>
          <w:rFonts w:ascii="Tahoma" w:hAnsi="Tahoma" w:cs="Tahoma"/>
          <w:sz w:val="20"/>
          <w:szCs w:val="20"/>
        </w:rPr>
      </w:pPr>
    </w:p>
    <w:p w:rsidR="00D411BC" w:rsidRPr="00D411BC" w:rsidRDefault="00D411BC" w:rsidP="00AF680E">
      <w:pPr>
        <w:spacing w:after="0" w:line="240" w:lineRule="auto"/>
        <w:jc w:val="both"/>
        <w:rPr>
          <w:rFonts w:ascii="Tahoma" w:hAnsi="Tahoma" w:cs="Tahoma"/>
          <w:sz w:val="20"/>
          <w:szCs w:val="20"/>
        </w:rPr>
      </w:pPr>
    </w:p>
    <w:p w:rsidR="00D411BC" w:rsidRPr="00D411BC" w:rsidRDefault="00D411BC" w:rsidP="00AF680E">
      <w:pPr>
        <w:spacing w:after="0" w:line="240" w:lineRule="auto"/>
        <w:jc w:val="both"/>
        <w:rPr>
          <w:rFonts w:ascii="Tahoma" w:hAnsi="Tahoma" w:cs="Tahoma"/>
          <w:sz w:val="20"/>
          <w:szCs w:val="20"/>
        </w:rPr>
      </w:pPr>
      <w:r w:rsidRPr="00D411BC">
        <w:rPr>
          <w:rFonts w:ascii="Tahoma" w:hAnsi="Tahoma" w:cs="Tahoma"/>
          <w:sz w:val="20"/>
          <w:szCs w:val="20"/>
        </w:rPr>
        <w:t>ss.</w:t>
      </w:r>
    </w:p>
    <w:p w:rsidR="00D411BC" w:rsidRPr="00D411BC" w:rsidRDefault="00D411BC" w:rsidP="00AF680E">
      <w:pPr>
        <w:spacing w:after="0" w:line="240" w:lineRule="auto"/>
        <w:jc w:val="both"/>
        <w:rPr>
          <w:rFonts w:ascii="Tahoma" w:hAnsi="Tahoma" w:cs="Tahoma"/>
          <w:sz w:val="20"/>
          <w:szCs w:val="20"/>
        </w:rPr>
      </w:pPr>
      <w:r w:rsidRPr="00D411BC">
        <w:rPr>
          <w:rFonts w:ascii="Tahoma" w:hAnsi="Tahoma" w:cs="Tahoma"/>
          <w:sz w:val="20"/>
          <w:szCs w:val="20"/>
        </w:rPr>
        <w:t>Navas Rondón.</w:t>
      </w:r>
    </w:p>
    <w:p w:rsidR="00D411BC" w:rsidRPr="00D411BC" w:rsidRDefault="00D411BC" w:rsidP="00AF680E">
      <w:pPr>
        <w:spacing w:after="0" w:line="240" w:lineRule="auto"/>
        <w:jc w:val="both"/>
        <w:rPr>
          <w:rFonts w:ascii="Tahoma" w:hAnsi="Tahoma" w:cs="Tahoma"/>
          <w:sz w:val="20"/>
          <w:szCs w:val="20"/>
        </w:rPr>
      </w:pPr>
      <w:r w:rsidRPr="00D411BC">
        <w:rPr>
          <w:rFonts w:ascii="Tahoma" w:hAnsi="Tahoma" w:cs="Tahoma"/>
          <w:sz w:val="20"/>
          <w:szCs w:val="20"/>
        </w:rPr>
        <w:t>Ramírez Maynetto.</w:t>
      </w:r>
    </w:p>
    <w:p w:rsidR="00D411BC" w:rsidRPr="00D411BC" w:rsidRDefault="00D411BC" w:rsidP="00AF680E">
      <w:pPr>
        <w:spacing w:after="0" w:line="240" w:lineRule="auto"/>
        <w:jc w:val="both"/>
        <w:rPr>
          <w:rFonts w:ascii="Tahoma" w:hAnsi="Tahoma" w:cs="Tahoma"/>
          <w:sz w:val="20"/>
          <w:szCs w:val="20"/>
        </w:rPr>
      </w:pPr>
      <w:r w:rsidRPr="00D411BC">
        <w:rPr>
          <w:rFonts w:ascii="Tahoma" w:hAnsi="Tahoma" w:cs="Tahoma"/>
          <w:sz w:val="20"/>
          <w:szCs w:val="20"/>
        </w:rPr>
        <w:t>Basulto Liewald.</w:t>
      </w:r>
    </w:p>
    <w:p w:rsidR="00D411BC" w:rsidRPr="00D411BC" w:rsidRDefault="00D411BC" w:rsidP="00AF680E">
      <w:pPr>
        <w:spacing w:after="0" w:line="240" w:lineRule="auto"/>
        <w:rPr>
          <w:rFonts w:ascii="Tahoma" w:hAnsi="Tahoma" w:cs="Tahoma"/>
          <w:sz w:val="20"/>
          <w:szCs w:val="20"/>
        </w:rPr>
      </w:pPr>
    </w:p>
    <w:p w:rsidR="00683724" w:rsidRPr="00D411BC" w:rsidRDefault="00683724" w:rsidP="00AF680E">
      <w:pPr>
        <w:spacing w:after="0" w:line="240" w:lineRule="auto"/>
        <w:rPr>
          <w:rFonts w:ascii="Tahoma" w:hAnsi="Tahoma" w:cs="Tahoma"/>
          <w:sz w:val="20"/>
          <w:szCs w:val="20"/>
        </w:rPr>
      </w:pPr>
    </w:p>
    <w:sectPr w:rsidR="00683724" w:rsidRPr="00D411BC" w:rsidSect="00AF680E">
      <w:headerReference w:type="default" r:id="rId7"/>
      <w:footerReference w:type="default" r:id="rId8"/>
      <w:pgSz w:w="11906" w:h="16838"/>
      <w:pgMar w:top="2836" w:right="1700" w:bottom="1702"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63D" w:rsidRDefault="006B163D" w:rsidP="00D411BC">
      <w:pPr>
        <w:spacing w:after="0" w:line="240" w:lineRule="auto"/>
      </w:pPr>
      <w:r>
        <w:separator/>
      </w:r>
    </w:p>
  </w:endnote>
  <w:endnote w:type="continuationSeparator" w:id="1">
    <w:p w:rsidR="006B163D" w:rsidRDefault="006B163D" w:rsidP="00D411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F44" w:rsidRPr="00FD5A0C" w:rsidRDefault="005B4F44">
    <w:pPr>
      <w:pStyle w:val="Piedepgina"/>
      <w:jc w:val="center"/>
      <w:rPr>
        <w:rFonts w:ascii="Tahoma" w:hAnsi="Tahoma" w:cs="Tahoma"/>
        <w:i/>
        <w:sz w:val="18"/>
        <w:szCs w:val="18"/>
      </w:rPr>
    </w:pPr>
    <w:r w:rsidRPr="00FD5A0C">
      <w:rPr>
        <w:rFonts w:ascii="Tahoma" w:hAnsi="Tahoma" w:cs="Tahoma"/>
        <w:i/>
        <w:sz w:val="18"/>
        <w:szCs w:val="18"/>
      </w:rPr>
      <w:t xml:space="preserve">Página </w:t>
    </w:r>
    <w:r w:rsidR="00BA47A1" w:rsidRPr="00FD5A0C">
      <w:rPr>
        <w:rFonts w:ascii="Tahoma" w:hAnsi="Tahoma" w:cs="Tahoma"/>
        <w:i/>
        <w:sz w:val="18"/>
        <w:szCs w:val="18"/>
      </w:rPr>
      <w:fldChar w:fldCharType="begin"/>
    </w:r>
    <w:r w:rsidRPr="00FD5A0C">
      <w:rPr>
        <w:rFonts w:ascii="Tahoma" w:hAnsi="Tahoma" w:cs="Tahoma"/>
        <w:i/>
        <w:sz w:val="18"/>
        <w:szCs w:val="18"/>
      </w:rPr>
      <w:instrText>PAGE</w:instrText>
    </w:r>
    <w:r w:rsidR="00BA47A1" w:rsidRPr="00FD5A0C">
      <w:rPr>
        <w:rFonts w:ascii="Tahoma" w:hAnsi="Tahoma" w:cs="Tahoma"/>
        <w:i/>
        <w:sz w:val="18"/>
        <w:szCs w:val="18"/>
      </w:rPr>
      <w:fldChar w:fldCharType="separate"/>
    </w:r>
    <w:r w:rsidR="00D3528F">
      <w:rPr>
        <w:rFonts w:ascii="Tahoma" w:hAnsi="Tahoma" w:cs="Tahoma"/>
        <w:i/>
        <w:noProof/>
        <w:sz w:val="18"/>
        <w:szCs w:val="18"/>
      </w:rPr>
      <w:t>1</w:t>
    </w:r>
    <w:r w:rsidR="00BA47A1" w:rsidRPr="00FD5A0C">
      <w:rPr>
        <w:rFonts w:ascii="Tahoma" w:hAnsi="Tahoma" w:cs="Tahoma"/>
        <w:i/>
        <w:sz w:val="18"/>
        <w:szCs w:val="18"/>
      </w:rPr>
      <w:fldChar w:fldCharType="end"/>
    </w:r>
    <w:r w:rsidRPr="00FD5A0C">
      <w:rPr>
        <w:rFonts w:ascii="Tahoma" w:hAnsi="Tahoma" w:cs="Tahoma"/>
        <w:i/>
        <w:sz w:val="18"/>
        <w:szCs w:val="18"/>
      </w:rPr>
      <w:t xml:space="preserve"> de </w:t>
    </w:r>
    <w:r w:rsidR="00BA47A1" w:rsidRPr="00FD5A0C">
      <w:rPr>
        <w:rFonts w:ascii="Tahoma" w:hAnsi="Tahoma" w:cs="Tahoma"/>
        <w:i/>
        <w:sz w:val="18"/>
        <w:szCs w:val="18"/>
      </w:rPr>
      <w:fldChar w:fldCharType="begin"/>
    </w:r>
    <w:r w:rsidRPr="00FD5A0C">
      <w:rPr>
        <w:rFonts w:ascii="Tahoma" w:hAnsi="Tahoma" w:cs="Tahoma"/>
        <w:i/>
        <w:sz w:val="18"/>
        <w:szCs w:val="18"/>
      </w:rPr>
      <w:instrText>NUMPAGES</w:instrText>
    </w:r>
    <w:r w:rsidR="00BA47A1" w:rsidRPr="00FD5A0C">
      <w:rPr>
        <w:rFonts w:ascii="Tahoma" w:hAnsi="Tahoma" w:cs="Tahoma"/>
        <w:i/>
        <w:sz w:val="18"/>
        <w:szCs w:val="18"/>
      </w:rPr>
      <w:fldChar w:fldCharType="separate"/>
    </w:r>
    <w:r w:rsidR="00D3528F">
      <w:rPr>
        <w:rFonts w:ascii="Tahoma" w:hAnsi="Tahoma" w:cs="Tahoma"/>
        <w:i/>
        <w:noProof/>
        <w:sz w:val="18"/>
        <w:szCs w:val="18"/>
      </w:rPr>
      <w:t>10</w:t>
    </w:r>
    <w:r w:rsidR="00BA47A1" w:rsidRPr="00FD5A0C">
      <w:rPr>
        <w:rFonts w:ascii="Tahoma" w:hAnsi="Tahoma" w:cs="Tahoma"/>
        <w:i/>
        <w:sz w:val="18"/>
        <w:szCs w:val="18"/>
      </w:rPr>
      <w:fldChar w:fldCharType="end"/>
    </w:r>
  </w:p>
  <w:p w:rsidR="005B4F44" w:rsidRDefault="005B4F4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63D" w:rsidRDefault="006B163D" w:rsidP="00D411BC">
      <w:pPr>
        <w:spacing w:after="0" w:line="240" w:lineRule="auto"/>
      </w:pPr>
      <w:r>
        <w:separator/>
      </w:r>
    </w:p>
  </w:footnote>
  <w:footnote w:type="continuationSeparator" w:id="1">
    <w:p w:rsidR="006B163D" w:rsidRDefault="006B163D" w:rsidP="00D411BC">
      <w:pPr>
        <w:spacing w:after="0" w:line="240" w:lineRule="auto"/>
      </w:pPr>
      <w:r>
        <w:continuationSeparator/>
      </w:r>
    </w:p>
  </w:footnote>
  <w:footnote w:id="2">
    <w:p w:rsidR="005B4F44" w:rsidRDefault="005B4F44" w:rsidP="00D411BC">
      <w:pPr>
        <w:pStyle w:val="Textonotapie"/>
      </w:pPr>
      <w:r w:rsidRPr="00AF65D5">
        <w:rPr>
          <w:rStyle w:val="Refdenotaalpie"/>
          <w:i/>
          <w:iCs/>
          <w:sz w:val="18"/>
          <w:szCs w:val="18"/>
        </w:rPr>
        <w:footnoteRef/>
      </w:r>
      <w:r w:rsidRPr="00AF65D5">
        <w:rPr>
          <w:i/>
          <w:iCs/>
          <w:sz w:val="18"/>
          <w:szCs w:val="18"/>
        </w:rPr>
        <w:t xml:space="preserve"> Aprobada por Decreto Legislativo Nº 1017.</w:t>
      </w:r>
    </w:p>
  </w:footnote>
  <w:footnote w:id="3">
    <w:p w:rsidR="005B4F44" w:rsidRDefault="005B4F44" w:rsidP="00D411BC">
      <w:pPr>
        <w:pStyle w:val="Textonotapie"/>
      </w:pPr>
      <w:r w:rsidRPr="00AF65D5">
        <w:rPr>
          <w:rStyle w:val="Refdenotaalpie"/>
          <w:i/>
          <w:iCs/>
          <w:sz w:val="18"/>
          <w:szCs w:val="18"/>
        </w:rPr>
        <w:footnoteRef/>
      </w:r>
      <w:r w:rsidRPr="00AF65D5">
        <w:rPr>
          <w:i/>
          <w:iCs/>
          <w:sz w:val="18"/>
          <w:szCs w:val="18"/>
        </w:rPr>
        <w:t xml:space="preserve"> Aprobado por Decreto Supremo Nº 184-2008-EF.</w:t>
      </w:r>
    </w:p>
  </w:footnote>
  <w:footnote w:id="4">
    <w:p w:rsidR="005B4F44" w:rsidRDefault="005B4F44" w:rsidP="00D411BC">
      <w:pPr>
        <w:pStyle w:val="Textonotapie"/>
        <w:rPr>
          <w:i/>
          <w:iCs/>
          <w:sz w:val="18"/>
          <w:szCs w:val="18"/>
        </w:rPr>
      </w:pPr>
      <w:r w:rsidRPr="00AF65D5">
        <w:rPr>
          <w:rStyle w:val="Refdenotaalpie"/>
          <w:i/>
          <w:iCs/>
          <w:sz w:val="18"/>
          <w:szCs w:val="18"/>
        </w:rPr>
        <w:footnoteRef/>
      </w:r>
      <w:r w:rsidRPr="00AF65D5">
        <w:rPr>
          <w:i/>
          <w:iCs/>
          <w:sz w:val="18"/>
          <w:szCs w:val="18"/>
        </w:rPr>
        <w:t xml:space="preserve"> </w:t>
      </w:r>
      <w:r>
        <w:rPr>
          <w:i/>
          <w:iCs/>
          <w:sz w:val="18"/>
          <w:szCs w:val="18"/>
        </w:rPr>
        <w:t>Acuerdo dictado en el marco de los entonces vigentes Texto Único Ordenado de la Ley de Contrataciones y Adquisiciones del Estado, aprobado por Decreto Supremo Nº 012-2001-PCM y su Reglamento, aprobado por D.S. Nº 013-2001-PCM, pero que resulta igualmente aplicable en el caso de autos.</w:t>
      </w:r>
    </w:p>
    <w:p w:rsidR="005B4F44" w:rsidRDefault="005B4F44" w:rsidP="00D411BC">
      <w:pPr>
        <w:pStyle w:val="Textonotapi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28F" w:rsidRDefault="00D3528F" w:rsidP="00D3528F">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D3528F" w:rsidRDefault="00D3528F" w:rsidP="00D3528F">
    <w:pPr>
      <w:pStyle w:val="Encabezado"/>
      <w:rPr>
        <w:noProof/>
      </w:rPr>
    </w:pPr>
  </w:p>
  <w:p w:rsidR="00D3528F" w:rsidRDefault="00D3528F" w:rsidP="00D3528F">
    <w:pPr>
      <w:pStyle w:val="Encabezado"/>
      <w:jc w:val="center"/>
      <w:rPr>
        <w:rFonts w:ascii="Monotype Corsiva" w:hAnsi="Monotype Corsiva"/>
        <w:b/>
        <w:sz w:val="44"/>
        <w:szCs w:val="44"/>
      </w:rPr>
    </w:pPr>
  </w:p>
  <w:p w:rsidR="00D3528F" w:rsidRDefault="00D3528F" w:rsidP="00D3528F">
    <w:pPr>
      <w:pStyle w:val="Encabezado"/>
      <w:jc w:val="center"/>
    </w:pPr>
    <w:r>
      <w:rPr>
        <w:rFonts w:ascii="Monotype Corsiva" w:hAnsi="Monotype Corsiva"/>
        <w:b/>
        <w:sz w:val="44"/>
        <w:szCs w:val="44"/>
      </w:rPr>
      <w:t xml:space="preserve">Resolución Nº   </w:t>
    </w:r>
    <w:r>
      <w:rPr>
        <w:rFonts w:ascii="Tahoma" w:hAnsi="Tahoma" w:cs="Tahoma"/>
        <w:b/>
        <w:sz w:val="44"/>
        <w:szCs w:val="44"/>
      </w:rPr>
      <w:t>1217-2011-TC-S1</w:t>
    </w:r>
  </w:p>
  <w:p w:rsidR="00D3528F" w:rsidRDefault="00D3528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D4CD558"/>
    <w:lvl w:ilvl="0" w:tplc="3D7E8B80">
      <w:start w:val="1"/>
      <w:numFmt w:val="decimal"/>
      <w:lvlText w:val="%1."/>
      <w:lvlJc w:val="left"/>
      <w:pPr>
        <w:tabs>
          <w:tab w:val="num" w:pos="644"/>
        </w:tabs>
        <w:ind w:left="644" w:hanging="360"/>
      </w:pPr>
      <w:rPr>
        <w:b/>
        <w:bCs/>
      </w:rPr>
    </w:lvl>
    <w:lvl w:ilvl="1" w:tplc="0C0A0019">
      <w:start w:val="1"/>
      <w:numFmt w:val="lowerLetter"/>
      <w:lvlText w:val="%2."/>
      <w:lvlJc w:val="left"/>
      <w:pPr>
        <w:tabs>
          <w:tab w:val="num" w:pos="1620"/>
        </w:tabs>
        <w:ind w:left="1620" w:hanging="360"/>
      </w:pPr>
    </w:lvl>
    <w:lvl w:ilvl="2" w:tplc="0C0A001B">
      <w:start w:val="1"/>
      <w:numFmt w:val="decimal"/>
      <w:lvlText w:val="%3."/>
      <w:lvlJc w:val="left"/>
      <w:pPr>
        <w:tabs>
          <w:tab w:val="num" w:pos="2340"/>
        </w:tabs>
        <w:ind w:left="2340" w:hanging="360"/>
      </w:pPr>
    </w:lvl>
    <w:lvl w:ilvl="3" w:tplc="0C0A000F">
      <w:start w:val="1"/>
      <w:numFmt w:val="decimal"/>
      <w:lvlText w:val="%4."/>
      <w:lvlJc w:val="left"/>
      <w:pPr>
        <w:tabs>
          <w:tab w:val="num" w:pos="900"/>
        </w:tabs>
        <w:ind w:left="900" w:hanging="360"/>
      </w:pPr>
      <w:rPr>
        <w:b/>
        <w:bCs/>
      </w:rPr>
    </w:lvl>
    <w:lvl w:ilvl="4" w:tplc="0C0A0019">
      <w:start w:val="1"/>
      <w:numFmt w:val="decimal"/>
      <w:lvlText w:val="%5."/>
      <w:lvlJc w:val="left"/>
      <w:pPr>
        <w:tabs>
          <w:tab w:val="num" w:pos="3780"/>
        </w:tabs>
        <w:ind w:left="3780" w:hanging="360"/>
      </w:pPr>
    </w:lvl>
    <w:lvl w:ilvl="5" w:tplc="0C0A001B">
      <w:start w:val="1"/>
      <w:numFmt w:val="decimal"/>
      <w:lvlText w:val="%6."/>
      <w:lvlJc w:val="left"/>
      <w:pPr>
        <w:tabs>
          <w:tab w:val="num" w:pos="4500"/>
        </w:tabs>
        <w:ind w:left="4500" w:hanging="360"/>
      </w:pPr>
    </w:lvl>
    <w:lvl w:ilvl="6" w:tplc="0C0A000F">
      <w:start w:val="1"/>
      <w:numFmt w:val="decimal"/>
      <w:lvlText w:val="%7."/>
      <w:lvlJc w:val="left"/>
      <w:pPr>
        <w:tabs>
          <w:tab w:val="num" w:pos="5220"/>
        </w:tabs>
        <w:ind w:left="5220" w:hanging="360"/>
      </w:pPr>
    </w:lvl>
    <w:lvl w:ilvl="7" w:tplc="0C0A0019">
      <w:start w:val="1"/>
      <w:numFmt w:val="decimal"/>
      <w:lvlText w:val="%8."/>
      <w:lvlJc w:val="left"/>
      <w:pPr>
        <w:tabs>
          <w:tab w:val="num" w:pos="5940"/>
        </w:tabs>
        <w:ind w:left="5940" w:hanging="360"/>
      </w:pPr>
    </w:lvl>
    <w:lvl w:ilvl="8" w:tplc="0C0A001B">
      <w:start w:val="1"/>
      <w:numFmt w:val="decimal"/>
      <w:lvlText w:val="%9."/>
      <w:lvlJc w:val="left"/>
      <w:pPr>
        <w:tabs>
          <w:tab w:val="num" w:pos="6660"/>
        </w:tabs>
        <w:ind w:left="6660" w:hanging="360"/>
      </w:pPr>
    </w:lvl>
  </w:abstractNum>
  <w:abstractNum w:abstractNumId="1">
    <w:nsid w:val="067F6C2B"/>
    <w:multiLevelType w:val="hybridMultilevel"/>
    <w:tmpl w:val="10D4FE8A"/>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2">
    <w:nsid w:val="0D89661A"/>
    <w:multiLevelType w:val="hybridMultilevel"/>
    <w:tmpl w:val="5ED447A4"/>
    <w:lvl w:ilvl="0" w:tplc="CDE0A59A">
      <w:start w:val="1"/>
      <w:numFmt w:val="decimal"/>
      <w:lvlText w:val="%1."/>
      <w:lvlJc w:val="left"/>
      <w:pPr>
        <w:tabs>
          <w:tab w:val="num" w:pos="454"/>
        </w:tabs>
        <w:ind w:left="454" w:hanging="454"/>
      </w:pPr>
      <w:rPr>
        <w:rFonts w:ascii="Tahoma" w:hAnsi="Tahoma" w:cs="Tahoma" w:hint="default"/>
        <w:b/>
        <w:bCs w:val="0"/>
        <w:i w:val="0"/>
        <w:iCs w:val="0"/>
        <w:outline w:val="0"/>
        <w:shadow/>
        <w:emboss w:val="0"/>
        <w:imprint w:val="0"/>
        <w:color w:val="auto"/>
        <w:sz w:val="20"/>
        <w:szCs w:val="20"/>
        <w:effect w:val="none"/>
      </w:rPr>
    </w:lvl>
    <w:lvl w:ilvl="1" w:tplc="5BA68C46">
      <w:start w:val="1"/>
      <w:numFmt w:val="lowerRoman"/>
      <w:lvlText w:val="(%2)"/>
      <w:lvlJc w:val="left"/>
      <w:pPr>
        <w:tabs>
          <w:tab w:val="num" w:pos="1800"/>
        </w:tabs>
        <w:ind w:left="1800" w:hanging="720"/>
      </w:pPr>
      <w:rPr>
        <w:b/>
        <w:bCs/>
      </w:rPr>
    </w:lvl>
    <w:lvl w:ilvl="2" w:tplc="91224666">
      <w:start w:val="1"/>
      <w:numFmt w:val="lowerRoman"/>
      <w:lvlText w:val="%3."/>
      <w:lvlJc w:val="left"/>
      <w:pPr>
        <w:tabs>
          <w:tab w:val="num" w:pos="1800"/>
        </w:tabs>
        <w:ind w:left="1800" w:hanging="720"/>
      </w:pPr>
      <w:rPr>
        <w:b/>
        <w:bCs/>
      </w:rPr>
    </w:lvl>
    <w:lvl w:ilvl="3" w:tplc="E034C060">
      <w:start w:val="1"/>
      <w:numFmt w:val="lowerLetter"/>
      <w:lvlText w:val="%4."/>
      <w:lvlJc w:val="left"/>
      <w:pPr>
        <w:tabs>
          <w:tab w:val="num" w:pos="2880"/>
        </w:tabs>
        <w:ind w:left="2880" w:hanging="360"/>
      </w:pPr>
      <w:rPr>
        <w:b/>
        <w:bCs/>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E2A5D4D"/>
    <w:multiLevelType w:val="hybridMultilevel"/>
    <w:tmpl w:val="4BFEB4A2"/>
    <w:lvl w:ilvl="0" w:tplc="0C0A0001">
      <w:start w:val="1"/>
      <w:numFmt w:val="bullet"/>
      <w:lvlText w:val=""/>
      <w:lvlJc w:val="left"/>
      <w:pPr>
        <w:tabs>
          <w:tab w:val="num" w:pos="1275"/>
        </w:tabs>
        <w:ind w:left="1275" w:hanging="360"/>
      </w:pPr>
      <w:rPr>
        <w:rFonts w:ascii="Symbol" w:hAnsi="Symbol" w:cs="Symbol" w:hint="default"/>
      </w:rPr>
    </w:lvl>
    <w:lvl w:ilvl="1" w:tplc="0C0A000F">
      <w:start w:val="1"/>
      <w:numFmt w:val="decimal"/>
      <w:lvlText w:val="%2."/>
      <w:lvlJc w:val="left"/>
      <w:pPr>
        <w:tabs>
          <w:tab w:val="num" w:pos="1995"/>
        </w:tabs>
        <w:ind w:left="1995" w:hanging="360"/>
      </w:pPr>
      <w:rPr>
        <w:rFonts w:hint="default"/>
      </w:rPr>
    </w:lvl>
    <w:lvl w:ilvl="2" w:tplc="0C0A0005">
      <w:start w:val="1"/>
      <w:numFmt w:val="bullet"/>
      <w:lvlText w:val=""/>
      <w:lvlJc w:val="left"/>
      <w:pPr>
        <w:tabs>
          <w:tab w:val="num" w:pos="2715"/>
        </w:tabs>
        <w:ind w:left="2715" w:hanging="360"/>
      </w:pPr>
      <w:rPr>
        <w:rFonts w:ascii="Wingdings" w:hAnsi="Wingdings" w:cs="Wingdings" w:hint="default"/>
      </w:rPr>
    </w:lvl>
    <w:lvl w:ilvl="3" w:tplc="0C0A0001">
      <w:start w:val="1"/>
      <w:numFmt w:val="bullet"/>
      <w:lvlText w:val=""/>
      <w:lvlJc w:val="left"/>
      <w:pPr>
        <w:tabs>
          <w:tab w:val="num" w:pos="3435"/>
        </w:tabs>
        <w:ind w:left="3435" w:hanging="360"/>
      </w:pPr>
      <w:rPr>
        <w:rFonts w:ascii="Symbol" w:hAnsi="Symbol" w:cs="Symbol" w:hint="default"/>
      </w:rPr>
    </w:lvl>
    <w:lvl w:ilvl="4" w:tplc="0C0A0003">
      <w:start w:val="1"/>
      <w:numFmt w:val="bullet"/>
      <w:lvlText w:val="o"/>
      <w:lvlJc w:val="left"/>
      <w:pPr>
        <w:tabs>
          <w:tab w:val="num" w:pos="4155"/>
        </w:tabs>
        <w:ind w:left="4155" w:hanging="360"/>
      </w:pPr>
      <w:rPr>
        <w:rFonts w:ascii="Courier New" w:hAnsi="Courier New" w:cs="Courier New" w:hint="default"/>
      </w:rPr>
    </w:lvl>
    <w:lvl w:ilvl="5" w:tplc="0C0A0005">
      <w:start w:val="1"/>
      <w:numFmt w:val="bullet"/>
      <w:lvlText w:val=""/>
      <w:lvlJc w:val="left"/>
      <w:pPr>
        <w:tabs>
          <w:tab w:val="num" w:pos="4875"/>
        </w:tabs>
        <w:ind w:left="4875" w:hanging="360"/>
      </w:pPr>
      <w:rPr>
        <w:rFonts w:ascii="Wingdings" w:hAnsi="Wingdings" w:cs="Wingdings" w:hint="default"/>
      </w:rPr>
    </w:lvl>
    <w:lvl w:ilvl="6" w:tplc="0C0A0001">
      <w:start w:val="1"/>
      <w:numFmt w:val="bullet"/>
      <w:lvlText w:val=""/>
      <w:lvlJc w:val="left"/>
      <w:pPr>
        <w:tabs>
          <w:tab w:val="num" w:pos="5595"/>
        </w:tabs>
        <w:ind w:left="5595" w:hanging="360"/>
      </w:pPr>
      <w:rPr>
        <w:rFonts w:ascii="Symbol" w:hAnsi="Symbol" w:cs="Symbol" w:hint="default"/>
      </w:rPr>
    </w:lvl>
    <w:lvl w:ilvl="7" w:tplc="0C0A0003">
      <w:start w:val="1"/>
      <w:numFmt w:val="bullet"/>
      <w:lvlText w:val="o"/>
      <w:lvlJc w:val="left"/>
      <w:pPr>
        <w:tabs>
          <w:tab w:val="num" w:pos="6315"/>
        </w:tabs>
        <w:ind w:left="6315" w:hanging="360"/>
      </w:pPr>
      <w:rPr>
        <w:rFonts w:ascii="Courier New" w:hAnsi="Courier New" w:cs="Courier New" w:hint="default"/>
      </w:rPr>
    </w:lvl>
    <w:lvl w:ilvl="8" w:tplc="0C0A0005">
      <w:start w:val="1"/>
      <w:numFmt w:val="bullet"/>
      <w:lvlText w:val=""/>
      <w:lvlJc w:val="left"/>
      <w:pPr>
        <w:tabs>
          <w:tab w:val="num" w:pos="7035"/>
        </w:tabs>
        <w:ind w:left="7035" w:hanging="360"/>
      </w:pPr>
      <w:rPr>
        <w:rFonts w:ascii="Wingdings" w:hAnsi="Wingdings" w:cs="Wingdings" w:hint="default"/>
      </w:rPr>
    </w:lvl>
  </w:abstractNum>
  <w:abstractNum w:abstractNumId="4">
    <w:nsid w:val="26025333"/>
    <w:multiLevelType w:val="singleLevel"/>
    <w:tmpl w:val="3ACE5C9A"/>
    <w:lvl w:ilvl="0">
      <w:start w:val="1"/>
      <w:numFmt w:val="lowerLetter"/>
      <w:lvlText w:val="%1)"/>
      <w:legacy w:legacy="1" w:legacySpace="0" w:legacyIndent="360"/>
      <w:lvlJc w:val="left"/>
      <w:pPr>
        <w:ind w:left="1211" w:hanging="360"/>
      </w:pPr>
    </w:lvl>
  </w:abstractNum>
  <w:abstractNum w:abstractNumId="5">
    <w:nsid w:val="278C6CAC"/>
    <w:multiLevelType w:val="hybridMultilevel"/>
    <w:tmpl w:val="0DAE4746"/>
    <w:lvl w:ilvl="0" w:tplc="0C0A0019">
      <w:start w:val="1"/>
      <w:numFmt w:val="lowerLetter"/>
      <w:lvlText w:val="%1."/>
      <w:lvlJc w:val="left"/>
      <w:pPr>
        <w:tabs>
          <w:tab w:val="num" w:pos="720"/>
        </w:tabs>
        <w:ind w:left="720" w:hanging="360"/>
      </w:pPr>
    </w:lvl>
    <w:lvl w:ilvl="1" w:tplc="040A0019">
      <w:start w:val="1"/>
      <w:numFmt w:val="lowerLetter"/>
      <w:lvlText w:val="%2."/>
      <w:lvlJc w:val="left"/>
      <w:pPr>
        <w:tabs>
          <w:tab w:val="num" w:pos="1440"/>
        </w:tabs>
        <w:ind w:left="1440" w:hanging="360"/>
      </w:pPr>
    </w:lvl>
    <w:lvl w:ilvl="2" w:tplc="040A001B">
      <w:start w:val="1"/>
      <w:numFmt w:val="lowerRoman"/>
      <w:lvlText w:val="%3."/>
      <w:lvlJc w:val="right"/>
      <w:pPr>
        <w:tabs>
          <w:tab w:val="num" w:pos="2160"/>
        </w:tabs>
        <w:ind w:left="2160" w:hanging="180"/>
      </w:pPr>
    </w:lvl>
    <w:lvl w:ilvl="3" w:tplc="040A000F">
      <w:start w:val="1"/>
      <w:numFmt w:val="decimal"/>
      <w:lvlText w:val="%4."/>
      <w:lvlJc w:val="left"/>
      <w:pPr>
        <w:tabs>
          <w:tab w:val="num" w:pos="2880"/>
        </w:tabs>
        <w:ind w:left="2880" w:hanging="360"/>
      </w:pPr>
    </w:lvl>
    <w:lvl w:ilvl="4" w:tplc="040A0019">
      <w:start w:val="1"/>
      <w:numFmt w:val="lowerLetter"/>
      <w:lvlText w:val="%5."/>
      <w:lvlJc w:val="left"/>
      <w:pPr>
        <w:tabs>
          <w:tab w:val="num" w:pos="3600"/>
        </w:tabs>
        <w:ind w:left="3600" w:hanging="360"/>
      </w:pPr>
    </w:lvl>
    <w:lvl w:ilvl="5" w:tplc="040A001B">
      <w:start w:val="1"/>
      <w:numFmt w:val="lowerRoman"/>
      <w:lvlText w:val="%6."/>
      <w:lvlJc w:val="right"/>
      <w:pPr>
        <w:tabs>
          <w:tab w:val="num" w:pos="4320"/>
        </w:tabs>
        <w:ind w:left="4320" w:hanging="180"/>
      </w:pPr>
    </w:lvl>
    <w:lvl w:ilvl="6" w:tplc="040A000F">
      <w:start w:val="1"/>
      <w:numFmt w:val="decimal"/>
      <w:lvlText w:val="%7."/>
      <w:lvlJc w:val="left"/>
      <w:pPr>
        <w:tabs>
          <w:tab w:val="num" w:pos="5040"/>
        </w:tabs>
        <w:ind w:left="5040" w:hanging="360"/>
      </w:pPr>
    </w:lvl>
    <w:lvl w:ilvl="7" w:tplc="040A0019">
      <w:start w:val="1"/>
      <w:numFmt w:val="lowerLetter"/>
      <w:lvlText w:val="%8."/>
      <w:lvlJc w:val="left"/>
      <w:pPr>
        <w:tabs>
          <w:tab w:val="num" w:pos="5760"/>
        </w:tabs>
        <w:ind w:left="5760" w:hanging="360"/>
      </w:pPr>
    </w:lvl>
    <w:lvl w:ilvl="8" w:tplc="040A001B">
      <w:start w:val="1"/>
      <w:numFmt w:val="lowerRoman"/>
      <w:lvlText w:val="%9."/>
      <w:lvlJc w:val="right"/>
      <w:pPr>
        <w:tabs>
          <w:tab w:val="num" w:pos="6480"/>
        </w:tabs>
        <w:ind w:left="6480" w:hanging="180"/>
      </w:pPr>
    </w:lvl>
  </w:abstractNum>
  <w:abstractNum w:abstractNumId="6">
    <w:nsid w:val="2A604CF2"/>
    <w:multiLevelType w:val="hybridMultilevel"/>
    <w:tmpl w:val="0EDE9BEA"/>
    <w:lvl w:ilvl="0" w:tplc="0EECAF6A">
      <w:start w:val="1"/>
      <w:numFmt w:val="decimal"/>
      <w:lvlText w:val="%1)"/>
      <w:lvlJc w:val="left"/>
      <w:pPr>
        <w:tabs>
          <w:tab w:val="num" w:pos="720"/>
        </w:tabs>
        <w:ind w:left="720" w:hanging="360"/>
      </w:pPr>
      <w:rPr>
        <w:rFonts w:hint="default"/>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87B00B0"/>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9">
    <w:nsid w:val="482A3B48"/>
    <w:multiLevelType w:val="hybridMultilevel"/>
    <w:tmpl w:val="2A405E54"/>
    <w:lvl w:ilvl="0" w:tplc="0C0A0001">
      <w:start w:val="1"/>
      <w:numFmt w:val="bullet"/>
      <w:lvlText w:val=""/>
      <w:lvlJc w:val="left"/>
      <w:pPr>
        <w:tabs>
          <w:tab w:val="num" w:pos="1440"/>
        </w:tabs>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1">
    <w:nsid w:val="5BA761F1"/>
    <w:multiLevelType w:val="hybridMultilevel"/>
    <w:tmpl w:val="44362F42"/>
    <w:lvl w:ilvl="0" w:tplc="0C0A0001">
      <w:start w:val="1"/>
      <w:numFmt w:val="bullet"/>
      <w:lvlText w:val=""/>
      <w:lvlJc w:val="left"/>
      <w:pPr>
        <w:tabs>
          <w:tab w:val="num" w:pos="1155"/>
        </w:tabs>
        <w:ind w:left="1155" w:hanging="360"/>
      </w:pPr>
      <w:rPr>
        <w:rFonts w:ascii="Symbol" w:hAnsi="Symbol" w:cs="Symbol" w:hint="default"/>
      </w:rPr>
    </w:lvl>
    <w:lvl w:ilvl="1" w:tplc="0C0A0003">
      <w:start w:val="1"/>
      <w:numFmt w:val="bullet"/>
      <w:lvlText w:val="o"/>
      <w:lvlJc w:val="left"/>
      <w:pPr>
        <w:tabs>
          <w:tab w:val="num" w:pos="1875"/>
        </w:tabs>
        <w:ind w:left="1875" w:hanging="360"/>
      </w:pPr>
      <w:rPr>
        <w:rFonts w:ascii="Courier New" w:hAnsi="Courier New" w:cs="Courier New" w:hint="default"/>
      </w:rPr>
    </w:lvl>
    <w:lvl w:ilvl="2" w:tplc="0C0A0005">
      <w:start w:val="1"/>
      <w:numFmt w:val="bullet"/>
      <w:lvlText w:val=""/>
      <w:lvlJc w:val="left"/>
      <w:pPr>
        <w:tabs>
          <w:tab w:val="num" w:pos="2595"/>
        </w:tabs>
        <w:ind w:left="2595" w:hanging="360"/>
      </w:pPr>
      <w:rPr>
        <w:rFonts w:ascii="Wingdings" w:hAnsi="Wingdings" w:cs="Wingdings" w:hint="default"/>
      </w:rPr>
    </w:lvl>
    <w:lvl w:ilvl="3" w:tplc="0C0A0001">
      <w:start w:val="1"/>
      <w:numFmt w:val="bullet"/>
      <w:lvlText w:val=""/>
      <w:lvlJc w:val="left"/>
      <w:pPr>
        <w:tabs>
          <w:tab w:val="num" w:pos="3315"/>
        </w:tabs>
        <w:ind w:left="3315" w:hanging="360"/>
      </w:pPr>
      <w:rPr>
        <w:rFonts w:ascii="Symbol" w:hAnsi="Symbol" w:cs="Symbol" w:hint="default"/>
      </w:rPr>
    </w:lvl>
    <w:lvl w:ilvl="4" w:tplc="0C0A0003">
      <w:start w:val="1"/>
      <w:numFmt w:val="bullet"/>
      <w:lvlText w:val="o"/>
      <w:lvlJc w:val="left"/>
      <w:pPr>
        <w:tabs>
          <w:tab w:val="num" w:pos="4035"/>
        </w:tabs>
        <w:ind w:left="4035" w:hanging="360"/>
      </w:pPr>
      <w:rPr>
        <w:rFonts w:ascii="Courier New" w:hAnsi="Courier New" w:cs="Courier New" w:hint="default"/>
      </w:rPr>
    </w:lvl>
    <w:lvl w:ilvl="5" w:tplc="0C0A0005">
      <w:start w:val="1"/>
      <w:numFmt w:val="bullet"/>
      <w:lvlText w:val=""/>
      <w:lvlJc w:val="left"/>
      <w:pPr>
        <w:tabs>
          <w:tab w:val="num" w:pos="4755"/>
        </w:tabs>
        <w:ind w:left="4755" w:hanging="360"/>
      </w:pPr>
      <w:rPr>
        <w:rFonts w:ascii="Wingdings" w:hAnsi="Wingdings" w:cs="Wingdings" w:hint="default"/>
      </w:rPr>
    </w:lvl>
    <w:lvl w:ilvl="6" w:tplc="0C0A0001">
      <w:start w:val="1"/>
      <w:numFmt w:val="bullet"/>
      <w:lvlText w:val=""/>
      <w:lvlJc w:val="left"/>
      <w:pPr>
        <w:tabs>
          <w:tab w:val="num" w:pos="5475"/>
        </w:tabs>
        <w:ind w:left="5475" w:hanging="360"/>
      </w:pPr>
      <w:rPr>
        <w:rFonts w:ascii="Symbol" w:hAnsi="Symbol" w:cs="Symbol" w:hint="default"/>
      </w:rPr>
    </w:lvl>
    <w:lvl w:ilvl="7" w:tplc="0C0A0003">
      <w:start w:val="1"/>
      <w:numFmt w:val="bullet"/>
      <w:lvlText w:val="o"/>
      <w:lvlJc w:val="left"/>
      <w:pPr>
        <w:tabs>
          <w:tab w:val="num" w:pos="6195"/>
        </w:tabs>
        <w:ind w:left="6195" w:hanging="360"/>
      </w:pPr>
      <w:rPr>
        <w:rFonts w:ascii="Courier New" w:hAnsi="Courier New" w:cs="Courier New" w:hint="default"/>
      </w:rPr>
    </w:lvl>
    <w:lvl w:ilvl="8" w:tplc="0C0A0005">
      <w:start w:val="1"/>
      <w:numFmt w:val="bullet"/>
      <w:lvlText w:val=""/>
      <w:lvlJc w:val="left"/>
      <w:pPr>
        <w:tabs>
          <w:tab w:val="num" w:pos="6915"/>
        </w:tabs>
        <w:ind w:left="6915" w:hanging="360"/>
      </w:pPr>
      <w:rPr>
        <w:rFonts w:ascii="Wingdings" w:hAnsi="Wingdings" w:cs="Wingdings" w:hint="default"/>
      </w:rPr>
    </w:lvl>
  </w:abstractNum>
  <w:abstractNum w:abstractNumId="12">
    <w:nsid w:val="5E787690"/>
    <w:multiLevelType w:val="hybridMultilevel"/>
    <w:tmpl w:val="A4D62C46"/>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3">
    <w:nsid w:val="5FEE0699"/>
    <w:multiLevelType w:val="hybridMultilevel"/>
    <w:tmpl w:val="9B162670"/>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4">
    <w:nsid w:val="64D17E7D"/>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5">
    <w:nsid w:val="6E1B3FE2"/>
    <w:multiLevelType w:val="hybridMultilevel"/>
    <w:tmpl w:val="1B168A08"/>
    <w:lvl w:ilvl="0" w:tplc="0C0A0001">
      <w:start w:val="1"/>
      <w:numFmt w:val="bullet"/>
      <w:lvlText w:val=""/>
      <w:lvlJc w:val="left"/>
      <w:pPr>
        <w:ind w:left="2136" w:hanging="360"/>
      </w:pPr>
      <w:rPr>
        <w:rFonts w:ascii="Symbol" w:hAnsi="Symbol" w:cs="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6">
    <w:nsid w:val="70F06CCF"/>
    <w:multiLevelType w:val="hybridMultilevel"/>
    <w:tmpl w:val="3070BA32"/>
    <w:lvl w:ilvl="0" w:tplc="0C0A0019">
      <w:start w:val="1"/>
      <w:numFmt w:val="lowerLetter"/>
      <w:lvlText w:val="%1."/>
      <w:lvlJc w:val="lef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abstractNum w:abstractNumId="17">
    <w:nsid w:val="7B3F0476"/>
    <w:multiLevelType w:val="hybridMultilevel"/>
    <w:tmpl w:val="9E86F5BC"/>
    <w:lvl w:ilvl="0" w:tplc="0C0A0013">
      <w:start w:val="1"/>
      <w:numFmt w:val="upperRoman"/>
      <w:lvlText w:val="%1."/>
      <w:lvlJc w:val="right"/>
      <w:pPr>
        <w:ind w:left="1174" w:hanging="360"/>
      </w:pPr>
    </w:lvl>
    <w:lvl w:ilvl="1" w:tplc="0C0A0019">
      <w:start w:val="1"/>
      <w:numFmt w:val="lowerLetter"/>
      <w:lvlText w:val="%2."/>
      <w:lvlJc w:val="left"/>
      <w:pPr>
        <w:ind w:left="1894" w:hanging="360"/>
      </w:pPr>
    </w:lvl>
    <w:lvl w:ilvl="2" w:tplc="0C0A001B">
      <w:start w:val="1"/>
      <w:numFmt w:val="lowerRoman"/>
      <w:lvlText w:val="%3."/>
      <w:lvlJc w:val="right"/>
      <w:pPr>
        <w:ind w:left="2614" w:hanging="180"/>
      </w:pPr>
    </w:lvl>
    <w:lvl w:ilvl="3" w:tplc="0C0A000F">
      <w:start w:val="1"/>
      <w:numFmt w:val="decimal"/>
      <w:lvlText w:val="%4."/>
      <w:lvlJc w:val="left"/>
      <w:pPr>
        <w:ind w:left="3334" w:hanging="360"/>
      </w:pPr>
    </w:lvl>
    <w:lvl w:ilvl="4" w:tplc="0C0A0019">
      <w:start w:val="1"/>
      <w:numFmt w:val="lowerLetter"/>
      <w:lvlText w:val="%5."/>
      <w:lvlJc w:val="left"/>
      <w:pPr>
        <w:ind w:left="4054" w:hanging="360"/>
      </w:pPr>
    </w:lvl>
    <w:lvl w:ilvl="5" w:tplc="0C0A001B">
      <w:start w:val="1"/>
      <w:numFmt w:val="lowerRoman"/>
      <w:lvlText w:val="%6."/>
      <w:lvlJc w:val="right"/>
      <w:pPr>
        <w:ind w:left="4774" w:hanging="180"/>
      </w:pPr>
    </w:lvl>
    <w:lvl w:ilvl="6" w:tplc="0C0A000F">
      <w:start w:val="1"/>
      <w:numFmt w:val="decimal"/>
      <w:lvlText w:val="%7."/>
      <w:lvlJc w:val="left"/>
      <w:pPr>
        <w:ind w:left="5494" w:hanging="360"/>
      </w:pPr>
    </w:lvl>
    <w:lvl w:ilvl="7" w:tplc="0C0A0019">
      <w:start w:val="1"/>
      <w:numFmt w:val="lowerLetter"/>
      <w:lvlText w:val="%8."/>
      <w:lvlJc w:val="left"/>
      <w:pPr>
        <w:ind w:left="6214" w:hanging="360"/>
      </w:pPr>
    </w:lvl>
    <w:lvl w:ilvl="8" w:tplc="0C0A001B">
      <w:start w:val="1"/>
      <w:numFmt w:val="lowerRoman"/>
      <w:lvlText w:val="%9."/>
      <w:lvlJc w:val="right"/>
      <w:pPr>
        <w:ind w:left="6934" w:hanging="180"/>
      </w:pPr>
    </w:lvl>
  </w:abstractNum>
  <w:num w:numId="1">
    <w:abstractNumId w:val="2"/>
  </w:num>
  <w:num w:numId="2">
    <w:abstractNumId w:val="6"/>
  </w:num>
  <w:num w:numId="3">
    <w:abstractNumId w:val="1"/>
  </w:num>
  <w:num w:numId="4">
    <w:abstractNumId w:val="17"/>
  </w:num>
  <w:num w:numId="5">
    <w:abstractNumId w:val="12"/>
  </w:num>
  <w:num w:numId="6">
    <w:abstractNumId w:val="5"/>
  </w:num>
  <w:num w:numId="7">
    <w:abstractNumId w:val="10"/>
  </w:num>
  <w:num w:numId="8">
    <w:abstractNumId w:val="9"/>
  </w:num>
  <w:num w:numId="9">
    <w:abstractNumId w:val="0"/>
  </w:num>
  <w:num w:numId="10">
    <w:abstractNumId w:val="11"/>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4"/>
  </w:num>
  <w:num w:numId="16">
    <w:abstractNumId w:val="8"/>
  </w:num>
  <w:num w:numId="17">
    <w:abstractNumId w:val="14"/>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D411BC"/>
    <w:rsid w:val="0009541F"/>
    <w:rsid w:val="001D6F70"/>
    <w:rsid w:val="003B342A"/>
    <w:rsid w:val="003E1F01"/>
    <w:rsid w:val="005B4F44"/>
    <w:rsid w:val="005E4BC8"/>
    <w:rsid w:val="0066645E"/>
    <w:rsid w:val="00683724"/>
    <w:rsid w:val="006B163D"/>
    <w:rsid w:val="00801B47"/>
    <w:rsid w:val="0096071E"/>
    <w:rsid w:val="00A972FA"/>
    <w:rsid w:val="00AF680E"/>
    <w:rsid w:val="00BA47A1"/>
    <w:rsid w:val="00D3528F"/>
    <w:rsid w:val="00D411B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1BC"/>
    <w:rPr>
      <w:rFonts w:ascii="Calibri" w:eastAsia="Calibri" w:hAnsi="Calibri" w:cs="Times New Roman"/>
    </w:rPr>
  </w:style>
  <w:style w:type="paragraph" w:styleId="Ttulo2">
    <w:name w:val="heading 2"/>
    <w:basedOn w:val="Normal"/>
    <w:next w:val="Normal"/>
    <w:link w:val="Ttulo2Car"/>
    <w:qFormat/>
    <w:rsid w:val="00D411BC"/>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D411BC"/>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411BC"/>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D411BC"/>
    <w:rPr>
      <w:rFonts w:ascii="Arial" w:eastAsia="Calibri" w:hAnsi="Arial" w:cs="Arial"/>
      <w:b/>
      <w:bCs/>
      <w:sz w:val="26"/>
      <w:szCs w:val="26"/>
    </w:rPr>
  </w:style>
  <w:style w:type="paragraph" w:styleId="Textoindependiente3">
    <w:name w:val="Body Text 3"/>
    <w:basedOn w:val="Normal"/>
    <w:link w:val="Textoindependiente3Car"/>
    <w:semiHidden/>
    <w:unhideWhenUsed/>
    <w:rsid w:val="00D411BC"/>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D411BC"/>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D411BC"/>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D411BC"/>
    <w:pPr>
      <w:tabs>
        <w:tab w:val="center" w:pos="4252"/>
        <w:tab w:val="right" w:pos="8504"/>
      </w:tabs>
    </w:pPr>
  </w:style>
  <w:style w:type="character" w:customStyle="1" w:styleId="PiedepginaCar">
    <w:name w:val="Pie de página Car"/>
    <w:basedOn w:val="Fuentedeprrafopredeter"/>
    <w:link w:val="Piedepgina"/>
    <w:uiPriority w:val="99"/>
    <w:rsid w:val="00D411BC"/>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D411BC"/>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D411BC"/>
    <w:rPr>
      <w:rFonts w:ascii="Tahoma" w:eastAsia="Calibri" w:hAnsi="Tahoma" w:cs="Tahoma"/>
      <w:sz w:val="20"/>
      <w:szCs w:val="20"/>
    </w:rPr>
  </w:style>
  <w:style w:type="character" w:styleId="Refdenotaalpie">
    <w:name w:val="footnote reference"/>
    <w:basedOn w:val="Fuentedeprrafopredeter"/>
    <w:uiPriority w:val="99"/>
    <w:semiHidden/>
    <w:rsid w:val="00D411BC"/>
    <w:rPr>
      <w:vertAlign w:val="superscript"/>
    </w:rPr>
  </w:style>
  <w:style w:type="paragraph" w:styleId="Textoindependiente">
    <w:name w:val="Body Text"/>
    <w:basedOn w:val="Normal"/>
    <w:link w:val="TextoindependienteCar"/>
    <w:uiPriority w:val="99"/>
    <w:semiHidden/>
    <w:unhideWhenUsed/>
    <w:rsid w:val="00D411BC"/>
    <w:pPr>
      <w:spacing w:after="120"/>
    </w:pPr>
  </w:style>
  <w:style w:type="character" w:customStyle="1" w:styleId="TextoindependienteCar">
    <w:name w:val="Texto independiente Car"/>
    <w:basedOn w:val="Fuentedeprrafopredeter"/>
    <w:link w:val="Textoindependiente"/>
    <w:uiPriority w:val="99"/>
    <w:semiHidden/>
    <w:rsid w:val="00D411BC"/>
    <w:rPr>
      <w:rFonts w:ascii="Calibri" w:eastAsia="Calibri" w:hAnsi="Calibri" w:cs="Times New Roman"/>
    </w:rPr>
  </w:style>
  <w:style w:type="paragraph" w:customStyle="1" w:styleId="Normaltimes">
    <w:name w:val="Normal+times"/>
    <w:basedOn w:val="Normal"/>
    <w:link w:val="NormaltimesCar"/>
    <w:uiPriority w:val="99"/>
    <w:rsid w:val="00D411BC"/>
    <w:pPr>
      <w:spacing w:after="0" w:line="240" w:lineRule="auto"/>
    </w:pPr>
    <w:rPr>
      <w:rFonts w:ascii="Times New Roman" w:eastAsia="Times New Roman" w:hAnsi="Times New Roman"/>
      <w:sz w:val="24"/>
      <w:szCs w:val="24"/>
      <w:lang w:val="es-MX" w:eastAsia="es-PE"/>
    </w:rPr>
  </w:style>
  <w:style w:type="character" w:customStyle="1" w:styleId="NormaltimesCar">
    <w:name w:val="Normal+times Car"/>
    <w:basedOn w:val="Fuentedeprrafopredeter"/>
    <w:link w:val="Normaltimes"/>
    <w:uiPriority w:val="99"/>
    <w:locked/>
    <w:rsid w:val="00D411BC"/>
    <w:rPr>
      <w:rFonts w:ascii="Times New Roman" w:eastAsia="Times New Roman" w:hAnsi="Times New Roman" w:cs="Times New Roman"/>
      <w:sz w:val="24"/>
      <w:szCs w:val="24"/>
      <w:lang w:val="es-MX" w:eastAsia="es-PE"/>
    </w:rPr>
  </w:style>
  <w:style w:type="paragraph" w:styleId="Encabezado">
    <w:name w:val="header"/>
    <w:aliases w:val="maria,h"/>
    <w:basedOn w:val="Normal"/>
    <w:link w:val="EncabezadoCar"/>
    <w:uiPriority w:val="99"/>
    <w:semiHidden/>
    <w:unhideWhenUsed/>
    <w:rsid w:val="00D3528F"/>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D3528F"/>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1669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4262</Words>
  <Characters>23441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5</cp:revision>
  <cp:lastPrinted>2011-08-12T16:21:00Z</cp:lastPrinted>
  <dcterms:created xsi:type="dcterms:W3CDTF">2011-07-12T15:59:00Z</dcterms:created>
  <dcterms:modified xsi:type="dcterms:W3CDTF">2011-08-24T17:40:00Z</dcterms:modified>
</cp:coreProperties>
</file>